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4BE8A" w14:textId="77777777" w:rsidR="00C571BD" w:rsidRPr="00CF19D1" w:rsidRDefault="00C571BD" w:rsidP="00242567">
      <w:pPr>
        <w:pBdr>
          <w:bottom w:val="single" w:sz="6" w:space="1" w:color="auto"/>
        </w:pBdr>
        <w:spacing w:before="120" w:after="120"/>
        <w:jc w:val="both"/>
        <w:rPr>
          <w:rFonts w:ascii="Times New Roman" w:hAnsi="Times New Roman" w:cs="Times New Roman"/>
          <w:color w:val="808080" w:themeColor="background1" w:themeShade="80"/>
          <w:sz w:val="28"/>
          <w:szCs w:val="28"/>
          <w:lang w:val="ro-RO"/>
        </w:rPr>
      </w:pPr>
      <w:r w:rsidRPr="00CF19D1">
        <w:rPr>
          <w:rFonts w:ascii="Times New Roman" w:hAnsi="Times New Roman" w:cs="Times New Roman"/>
          <w:noProof/>
          <w:sz w:val="28"/>
          <w:szCs w:val="28"/>
        </w:rPr>
        <w:drawing>
          <wp:inline distT="0" distB="0" distL="0" distR="0" wp14:anchorId="3E6168B9" wp14:editId="39FB6756">
            <wp:extent cx="906780" cy="855574"/>
            <wp:effectExtent l="0" t="0" r="762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878" cy="862271"/>
                    </a:xfrm>
                    <a:prstGeom prst="rect">
                      <a:avLst/>
                    </a:prstGeom>
                  </pic:spPr>
                </pic:pic>
              </a:graphicData>
            </a:graphic>
          </wp:inline>
        </w:drawing>
      </w:r>
      <w:r w:rsidRPr="00CF19D1">
        <w:rPr>
          <w:rFonts w:ascii="Times New Roman" w:hAnsi="Times New Roman" w:cs="Times New Roman"/>
          <w:b/>
          <w:color w:val="002060"/>
          <w:sz w:val="28"/>
          <w:szCs w:val="28"/>
          <w:lang w:val="ro-RO"/>
        </w:rPr>
        <w:t xml:space="preserve">                         GUVERNUL ROMÂNIEI</w:t>
      </w:r>
    </w:p>
    <w:p w14:paraId="525F359C" w14:textId="5A598753" w:rsidR="00EA13E6" w:rsidRPr="00CF19D1" w:rsidRDefault="00BE1258" w:rsidP="00242567">
      <w:pPr>
        <w:spacing w:before="120" w:after="120"/>
        <w:jc w:val="right"/>
        <w:rPr>
          <w:rFonts w:ascii="Times New Roman" w:hAnsi="Times New Roman" w:cs="Times New Roman"/>
          <w:b/>
          <w:sz w:val="28"/>
          <w:szCs w:val="28"/>
          <w:lang w:val="ro-RO"/>
        </w:rPr>
      </w:pPr>
      <w:r w:rsidRPr="00CF19D1">
        <w:rPr>
          <w:rFonts w:ascii="Times New Roman" w:hAnsi="Times New Roman" w:cs="Times New Roman"/>
          <w:b/>
          <w:sz w:val="28"/>
          <w:szCs w:val="28"/>
          <w:lang w:val="ro-RO"/>
        </w:rPr>
        <w:t>26</w:t>
      </w:r>
      <w:r w:rsidR="0023085C" w:rsidRPr="00CF19D1">
        <w:rPr>
          <w:rFonts w:ascii="Times New Roman" w:hAnsi="Times New Roman" w:cs="Times New Roman"/>
          <w:b/>
          <w:sz w:val="28"/>
          <w:szCs w:val="28"/>
          <w:lang w:val="ro-RO"/>
        </w:rPr>
        <w:t>.</w:t>
      </w:r>
      <w:r w:rsidR="00242567" w:rsidRPr="00CF19D1">
        <w:rPr>
          <w:rFonts w:ascii="Times New Roman" w:hAnsi="Times New Roman" w:cs="Times New Roman"/>
          <w:b/>
          <w:sz w:val="28"/>
          <w:szCs w:val="28"/>
          <w:lang w:val="ro-RO"/>
        </w:rPr>
        <w:t>0</w:t>
      </w:r>
      <w:r w:rsidR="002B736B" w:rsidRPr="00CF19D1">
        <w:rPr>
          <w:rFonts w:ascii="Times New Roman" w:hAnsi="Times New Roman" w:cs="Times New Roman"/>
          <w:b/>
          <w:sz w:val="28"/>
          <w:szCs w:val="28"/>
          <w:lang w:val="ro-RO"/>
        </w:rPr>
        <w:t>3</w:t>
      </w:r>
      <w:r w:rsidR="00D226B5" w:rsidRPr="00CF19D1">
        <w:rPr>
          <w:rFonts w:ascii="Times New Roman" w:hAnsi="Times New Roman" w:cs="Times New Roman"/>
          <w:b/>
          <w:sz w:val="28"/>
          <w:szCs w:val="28"/>
          <w:lang w:val="ro-RO"/>
        </w:rPr>
        <w:t>.202</w:t>
      </w:r>
      <w:r w:rsidR="00E47488" w:rsidRPr="00CF19D1">
        <w:rPr>
          <w:rFonts w:ascii="Times New Roman" w:hAnsi="Times New Roman" w:cs="Times New Roman"/>
          <w:b/>
          <w:sz w:val="28"/>
          <w:szCs w:val="28"/>
          <w:lang w:val="ro-RO"/>
        </w:rPr>
        <w:t>6</w:t>
      </w:r>
    </w:p>
    <w:p w14:paraId="2CCD46A4" w14:textId="5A1BD3EC" w:rsidR="00D226B5" w:rsidRPr="00CF19D1" w:rsidRDefault="00D226B5" w:rsidP="00242567">
      <w:pPr>
        <w:spacing w:before="120" w:after="120"/>
        <w:jc w:val="center"/>
        <w:rPr>
          <w:rFonts w:ascii="Times New Roman" w:hAnsi="Times New Roman" w:cs="Times New Roman"/>
          <w:b/>
          <w:sz w:val="28"/>
          <w:szCs w:val="28"/>
          <w:lang w:val="ro-RO"/>
        </w:rPr>
      </w:pPr>
    </w:p>
    <w:p w14:paraId="4D5F9E78" w14:textId="70CA2D07" w:rsidR="002F04CA" w:rsidRPr="00CF19D1" w:rsidRDefault="00F64972" w:rsidP="00242567">
      <w:pPr>
        <w:autoSpaceDE w:val="0"/>
        <w:autoSpaceDN w:val="0"/>
        <w:jc w:val="center"/>
        <w:rPr>
          <w:rFonts w:ascii="Times New Roman" w:hAnsi="Times New Roman" w:cs="Times New Roman"/>
          <w:b/>
          <w:bCs/>
          <w:sz w:val="28"/>
          <w:szCs w:val="28"/>
          <w:u w:val="single"/>
          <w:lang w:val="ro-RO"/>
        </w:rPr>
      </w:pPr>
      <w:r w:rsidRPr="00CF19D1">
        <w:rPr>
          <w:rFonts w:ascii="Times New Roman" w:hAnsi="Times New Roman" w:cs="Times New Roman"/>
          <w:b/>
          <w:bCs/>
          <w:sz w:val="28"/>
          <w:szCs w:val="28"/>
          <w:u w:val="single"/>
          <w:lang w:val="ro-RO"/>
        </w:rPr>
        <w:t>INFORMAŢIE DE PRESĂ</w:t>
      </w:r>
    </w:p>
    <w:p w14:paraId="3877BE5D" w14:textId="684DE473" w:rsidR="008B188A" w:rsidRPr="00CF19D1" w:rsidRDefault="00F64972" w:rsidP="00242567">
      <w:pPr>
        <w:autoSpaceDE w:val="0"/>
        <w:autoSpaceDN w:val="0"/>
        <w:jc w:val="center"/>
        <w:rPr>
          <w:rFonts w:ascii="Times New Roman" w:hAnsi="Times New Roman" w:cs="Times New Roman"/>
          <w:b/>
          <w:bCs/>
          <w:sz w:val="28"/>
          <w:szCs w:val="28"/>
          <w:lang w:val="ro-RO"/>
        </w:rPr>
      </w:pPr>
      <w:r w:rsidRPr="00CF19D1">
        <w:rPr>
          <w:rFonts w:ascii="Times New Roman" w:hAnsi="Times New Roman" w:cs="Times New Roman"/>
          <w:b/>
          <w:bCs/>
          <w:sz w:val="28"/>
          <w:szCs w:val="28"/>
          <w:lang w:val="ro-RO"/>
        </w:rPr>
        <w:t>privind acte</w:t>
      </w:r>
      <w:r w:rsidR="00A30B8E" w:rsidRPr="00CF19D1">
        <w:rPr>
          <w:rFonts w:ascii="Times New Roman" w:hAnsi="Times New Roman" w:cs="Times New Roman"/>
          <w:b/>
          <w:bCs/>
          <w:sz w:val="28"/>
          <w:szCs w:val="28"/>
          <w:lang w:val="ro-RO"/>
        </w:rPr>
        <w:t>le normative adoptate în</w:t>
      </w:r>
      <w:r w:rsidRPr="00CF19D1">
        <w:rPr>
          <w:rFonts w:ascii="Times New Roman" w:hAnsi="Times New Roman" w:cs="Times New Roman"/>
          <w:b/>
          <w:bCs/>
          <w:sz w:val="28"/>
          <w:szCs w:val="28"/>
          <w:lang w:val="ro-RO"/>
        </w:rPr>
        <w:t xml:space="preserve"> șed</w:t>
      </w:r>
      <w:r w:rsidR="00597058" w:rsidRPr="00CF19D1">
        <w:rPr>
          <w:rFonts w:ascii="Times New Roman" w:hAnsi="Times New Roman" w:cs="Times New Roman"/>
          <w:b/>
          <w:bCs/>
          <w:sz w:val="28"/>
          <w:szCs w:val="28"/>
          <w:lang w:val="ro-RO"/>
        </w:rPr>
        <w:t>inț</w:t>
      </w:r>
      <w:r w:rsidR="00A30B8E" w:rsidRPr="00CF19D1">
        <w:rPr>
          <w:rFonts w:ascii="Times New Roman" w:hAnsi="Times New Roman" w:cs="Times New Roman"/>
          <w:b/>
          <w:bCs/>
          <w:sz w:val="28"/>
          <w:szCs w:val="28"/>
          <w:lang w:val="ro-RO"/>
        </w:rPr>
        <w:t>a</w:t>
      </w:r>
    </w:p>
    <w:p w14:paraId="6F216BD1" w14:textId="69CD74FD" w:rsidR="005C3D80" w:rsidRPr="00CF19D1" w:rsidRDefault="00597058" w:rsidP="00242567">
      <w:pPr>
        <w:autoSpaceDE w:val="0"/>
        <w:autoSpaceDN w:val="0"/>
        <w:jc w:val="center"/>
        <w:rPr>
          <w:rFonts w:ascii="Times New Roman" w:hAnsi="Times New Roman" w:cs="Times New Roman"/>
          <w:b/>
          <w:bCs/>
          <w:sz w:val="28"/>
          <w:szCs w:val="28"/>
          <w:lang w:val="ro-RO"/>
        </w:rPr>
      </w:pPr>
      <w:r w:rsidRPr="00CF19D1">
        <w:rPr>
          <w:rFonts w:ascii="Times New Roman" w:hAnsi="Times New Roman" w:cs="Times New Roman"/>
          <w:b/>
          <w:bCs/>
          <w:sz w:val="28"/>
          <w:szCs w:val="28"/>
          <w:lang w:val="ro-RO"/>
        </w:rPr>
        <w:t xml:space="preserve">Guvernului României din </w:t>
      </w:r>
      <w:r w:rsidR="00BE1258" w:rsidRPr="00CF19D1">
        <w:rPr>
          <w:rFonts w:ascii="Times New Roman" w:hAnsi="Times New Roman" w:cs="Times New Roman"/>
          <w:b/>
          <w:bCs/>
          <w:sz w:val="28"/>
          <w:szCs w:val="28"/>
          <w:lang w:val="ro-RO"/>
        </w:rPr>
        <w:t>26</w:t>
      </w:r>
      <w:r w:rsidR="002B736B" w:rsidRPr="00CF19D1">
        <w:rPr>
          <w:rFonts w:ascii="Times New Roman" w:hAnsi="Times New Roman" w:cs="Times New Roman"/>
          <w:b/>
          <w:bCs/>
          <w:sz w:val="28"/>
          <w:szCs w:val="28"/>
          <w:lang w:val="ro-RO"/>
        </w:rPr>
        <w:t xml:space="preserve"> martie</w:t>
      </w:r>
      <w:r w:rsidR="00384C9C" w:rsidRPr="00CF19D1">
        <w:rPr>
          <w:rFonts w:ascii="Times New Roman" w:hAnsi="Times New Roman" w:cs="Times New Roman"/>
          <w:b/>
          <w:bCs/>
          <w:sz w:val="28"/>
          <w:szCs w:val="28"/>
          <w:lang w:val="ro-RO"/>
        </w:rPr>
        <w:t xml:space="preserve"> </w:t>
      </w:r>
      <w:r w:rsidR="00E47488" w:rsidRPr="00CF19D1">
        <w:rPr>
          <w:rFonts w:ascii="Times New Roman" w:hAnsi="Times New Roman" w:cs="Times New Roman"/>
          <w:b/>
          <w:bCs/>
          <w:sz w:val="28"/>
          <w:szCs w:val="28"/>
          <w:lang w:val="ro-RO"/>
        </w:rPr>
        <w:t>2026</w:t>
      </w:r>
    </w:p>
    <w:p w14:paraId="26ADFDF0" w14:textId="0A0DEEB9" w:rsidR="009442A8" w:rsidRPr="00CF19D1" w:rsidRDefault="009442A8"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1B79E536" w14:textId="2E5AFFC4" w:rsidR="00BE1258" w:rsidRPr="00CF19D1" w:rsidRDefault="00BE1258"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5E1A70B1" w14:textId="77777777" w:rsidR="00BE1258" w:rsidRPr="00CF19D1" w:rsidRDefault="00BE1258" w:rsidP="00BE1258">
      <w:pPr>
        <w:pStyle w:val="ListParagraph"/>
        <w:ind w:left="1080"/>
        <w:jc w:val="both"/>
        <w:rPr>
          <w:rFonts w:ascii="Times New Roman" w:hAnsi="Times New Roman" w:cs="Times New Roman"/>
          <w:sz w:val="28"/>
          <w:szCs w:val="28"/>
          <w:lang w:val="ro-RO"/>
        </w:rPr>
      </w:pPr>
    </w:p>
    <w:p w14:paraId="376225B8" w14:textId="6F665D68" w:rsidR="00BE1258" w:rsidRPr="00CF19D1" w:rsidRDefault="00BE1258" w:rsidP="00BE1258">
      <w:pPr>
        <w:pStyle w:val="ListParagraph"/>
        <w:numPr>
          <w:ilvl w:val="0"/>
          <w:numId w:val="1"/>
        </w:numPr>
        <w:autoSpaceDE w:val="0"/>
        <w:autoSpaceDN w:val="0"/>
        <w:adjustRightInd w:val="0"/>
        <w:jc w:val="both"/>
        <w:rPr>
          <w:rFonts w:ascii="Times New Roman" w:hAnsi="Times New Roman" w:cs="Times New Roman"/>
          <w:b/>
          <w:sz w:val="28"/>
          <w:szCs w:val="28"/>
          <w:u w:val="single"/>
          <w:lang w:val="ro-RO"/>
        </w:rPr>
      </w:pPr>
      <w:r w:rsidRPr="00CF19D1">
        <w:rPr>
          <w:rFonts w:ascii="Times New Roman" w:hAnsi="Times New Roman" w:cs="Times New Roman"/>
          <w:b/>
          <w:sz w:val="28"/>
          <w:szCs w:val="28"/>
          <w:u w:val="single"/>
          <w:lang w:val="ro-RO"/>
        </w:rPr>
        <w:t>ORDONANȚE DE URGENȚĂ</w:t>
      </w:r>
    </w:p>
    <w:p w14:paraId="7EC77917" w14:textId="77777777" w:rsidR="004B35B0" w:rsidRPr="00CF19D1" w:rsidRDefault="004B35B0" w:rsidP="004B35B0">
      <w:pPr>
        <w:pStyle w:val="ListParagraph"/>
        <w:numPr>
          <w:ilvl w:val="0"/>
          <w:numId w:val="6"/>
        </w:numPr>
        <w:spacing w:after="8"/>
        <w:jc w:val="both"/>
        <w:rPr>
          <w:rFonts w:ascii="Times New Roman" w:hAnsi="Times New Roman" w:cs="Times New Roman"/>
          <w:color w:val="000000" w:themeColor="text1"/>
          <w:sz w:val="28"/>
          <w:szCs w:val="28"/>
          <w:lang w:val="ro-RO"/>
        </w:rPr>
      </w:pPr>
      <w:r w:rsidRPr="00CF19D1">
        <w:rPr>
          <w:rFonts w:ascii="Times New Roman" w:hAnsi="Times New Roman" w:cs="Times New Roman"/>
          <w:b/>
          <w:bCs/>
          <w:color w:val="000000" w:themeColor="text1"/>
          <w:sz w:val="28"/>
          <w:szCs w:val="28"/>
          <w:lang w:val="ro-RO"/>
        </w:rPr>
        <w:t>ORDONANȚĂ DE URGENȚĂ</w:t>
      </w:r>
      <w:r w:rsidRPr="00CF19D1">
        <w:rPr>
          <w:rFonts w:ascii="Times New Roman" w:hAnsi="Times New Roman" w:cs="Times New Roman"/>
          <w:bCs/>
          <w:color w:val="000000" w:themeColor="text1"/>
          <w:sz w:val="28"/>
          <w:szCs w:val="28"/>
          <w:lang w:val="ro-RO"/>
        </w:rPr>
        <w:t xml:space="preserve"> </w:t>
      </w:r>
      <w:r w:rsidRPr="00CF19D1">
        <w:rPr>
          <w:rFonts w:ascii="Times New Roman" w:hAnsi="Times New Roman" w:cs="Times New Roman"/>
          <w:color w:val="000000" w:themeColor="text1"/>
          <w:sz w:val="28"/>
          <w:szCs w:val="28"/>
          <w:lang w:val="ro-RO"/>
        </w:rPr>
        <w:t>privind declararea situației de criză pe piața țițeiului și/sau a produselor petroliere, respectiv benzină și motorină și pentru instituirea unor măsuri de protejare a economiei și populației pe durata situației de criză, precum și pentru modificarea unor acte normative în domeniul energiei</w:t>
      </w:r>
    </w:p>
    <w:p w14:paraId="361F7BCE" w14:textId="77777777" w:rsidR="007E13AE" w:rsidRPr="007E13AE" w:rsidRDefault="007E13AE" w:rsidP="007E13AE">
      <w:pPr>
        <w:spacing w:after="8"/>
        <w:jc w:val="both"/>
        <w:rPr>
          <w:rFonts w:ascii="Times New Roman" w:hAnsi="Times New Roman" w:cs="Times New Roman"/>
          <w:color w:val="000000" w:themeColor="text1"/>
          <w:sz w:val="28"/>
          <w:szCs w:val="28"/>
        </w:rPr>
      </w:pPr>
      <w:bookmarkStart w:id="0" w:name="_Hlk190975135"/>
      <w:r w:rsidRPr="007E13AE">
        <w:rPr>
          <w:rFonts w:ascii="Times New Roman" w:hAnsi="Times New Roman" w:cs="Times New Roman"/>
          <w:color w:val="000000" w:themeColor="text1"/>
          <w:sz w:val="28"/>
          <w:szCs w:val="28"/>
        </w:rPr>
        <w:t>Prin Ordonanța de Urgență adoptată de Guvern se declară situație de criză pe piaţa ţiţeiului şi/sau a produselor petroliere în perioada 1 aprilie 2026 – 30 iunie 2026 și se instituie un pachet de măsuri pentru protejarea cetățenilor și economiei.</w:t>
      </w:r>
    </w:p>
    <w:p w14:paraId="70DD4D99"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 xml:space="preserve">Perioada de aplicare a acestor soluții poate fi prelungită succesiv pentru durate de câte cel mult 3 luni, cât timp persistă împrejurările care au determinat situația de criză.  </w:t>
      </w:r>
    </w:p>
    <w:p w14:paraId="74F6D686"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Impactul implementării actului normativ va fi evaluat periodic pentru a permite ajustarea măsurilor, în funcție de evoluțiile pieței.</w:t>
      </w:r>
    </w:p>
    <w:p w14:paraId="3C90BAE8"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Situația de criză este declarată în baza Ordonanța de urgență a Guvernului nr. 84/2022 privind combaterea acțiunilor speculative, aprobată prin Legea nr. 322/2024.</w:t>
      </w:r>
    </w:p>
    <w:p w14:paraId="175F233C"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37D77D2E"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Ordonanța de Urgență adoptată astăzi de Guvern stabilește, în principal, următoarele măsuri:</w:t>
      </w:r>
    </w:p>
    <w:p w14:paraId="24B98060" w14:textId="77777777" w:rsidR="007E13AE" w:rsidRDefault="007E13AE" w:rsidP="007E13AE">
      <w:pPr>
        <w:pStyle w:val="ListParagraph"/>
        <w:numPr>
          <w:ilvl w:val="0"/>
          <w:numId w:val="41"/>
        </w:numPr>
        <w:spacing w:after="8"/>
        <w:jc w:val="both"/>
        <w:rPr>
          <w:rFonts w:ascii="Times New Roman" w:hAnsi="Times New Roman" w:cs="Times New Roman"/>
          <w:color w:val="000000" w:themeColor="text1"/>
          <w:sz w:val="28"/>
          <w:szCs w:val="28"/>
          <w:lang w:val="ro-RO"/>
        </w:rPr>
      </w:pPr>
      <w:r w:rsidRPr="007E13AE">
        <w:rPr>
          <w:rFonts w:ascii="Times New Roman" w:hAnsi="Times New Roman" w:cs="Times New Roman"/>
          <w:b/>
          <w:color w:val="000000" w:themeColor="text1"/>
          <w:sz w:val="28"/>
          <w:szCs w:val="28"/>
          <w:lang w:val="ro-RO"/>
        </w:rPr>
        <w:t>Se limitează adaosul comercial practicat de operatorii economici care produc, importă, distribuie și/sau comercializează benzină, motorină</w:t>
      </w:r>
      <w:r w:rsidRPr="007E13AE">
        <w:rPr>
          <w:rFonts w:ascii="Times New Roman" w:hAnsi="Times New Roman" w:cs="Times New Roman"/>
          <w:color w:val="000000" w:themeColor="text1"/>
          <w:sz w:val="28"/>
          <w:szCs w:val="28"/>
          <w:lang w:val="ro-RO"/>
        </w:rPr>
        <w:t xml:space="preserve"> la valoarea medie a adaosului comercial practicat în anul 2025 de către fiecare operator economic. Excepție fac exporturile și livrările intra-comunitare. Măsura are în vederea descurajarea unui posibil comportamentul inadecvat al operatorilor economici şi al unor potențiale tendințe de speculă, care ar conduce la creșteri nejustificate de preț la aceste produse. Valoarea medie anuală a adaosului comercial pentru anul 2025, precum și calculul care a determinat valoarea, se comunică Agenției Naționale de Administrare Fiscală. Modalitatea de comunicare se stabilește prin ordin al președintelui ANAF emis în termen de 3 zile lucrătoare de la data intrării în vigoare a prezentei ordonanțe. În termen de 5 zile de la data publicării ordinului președintelui ANAF, operatorii economici comunică valoarea medie anuală a adaosului comercial.</w:t>
      </w:r>
    </w:p>
    <w:p w14:paraId="0EE88155" w14:textId="18ABEA6C" w:rsidR="007E13AE" w:rsidRPr="007E13AE" w:rsidRDefault="007E13AE" w:rsidP="007E13AE">
      <w:pPr>
        <w:pStyle w:val="ListParagraph"/>
        <w:numPr>
          <w:ilvl w:val="0"/>
          <w:numId w:val="41"/>
        </w:numPr>
        <w:spacing w:after="8"/>
        <w:jc w:val="both"/>
        <w:rPr>
          <w:rFonts w:ascii="Times New Roman" w:hAnsi="Times New Roman" w:cs="Times New Roman"/>
          <w:color w:val="000000" w:themeColor="text1"/>
          <w:sz w:val="28"/>
          <w:szCs w:val="28"/>
          <w:lang w:val="ro-RO"/>
        </w:rPr>
      </w:pPr>
      <w:r w:rsidRPr="007E13AE">
        <w:rPr>
          <w:rFonts w:ascii="Times New Roman" w:hAnsi="Times New Roman" w:cs="Times New Roman"/>
          <w:color w:val="000000" w:themeColor="text1"/>
          <w:sz w:val="28"/>
          <w:szCs w:val="28"/>
        </w:rPr>
        <w:t xml:space="preserve">În cazul </w:t>
      </w:r>
      <w:r w:rsidR="00AA7047">
        <w:rPr>
          <w:rFonts w:ascii="Times New Roman" w:hAnsi="Times New Roman" w:cs="Times New Roman"/>
          <w:color w:val="000000" w:themeColor="text1"/>
          <w:sz w:val="28"/>
          <w:szCs w:val="28"/>
        </w:rPr>
        <w:t>constatării</w:t>
      </w:r>
      <w:bookmarkStart w:id="1" w:name="_GoBack"/>
      <w:bookmarkEnd w:id="1"/>
      <w:r w:rsidRPr="007E13AE">
        <w:rPr>
          <w:rFonts w:ascii="Times New Roman" w:hAnsi="Times New Roman" w:cs="Times New Roman"/>
          <w:color w:val="000000" w:themeColor="text1"/>
          <w:sz w:val="28"/>
          <w:szCs w:val="28"/>
        </w:rPr>
        <w:t xml:space="preserve"> unor adaosuri comerciale peste limitele prevăzute în actul normativ, vor fi aplicate amenzi cuprinse între 0,5% și 1% din cifra de afaceri realizată în anul anterior sancționării</w:t>
      </w:r>
    </w:p>
    <w:p w14:paraId="08B65D8B" w14:textId="77777777" w:rsidR="007E13AE" w:rsidRPr="007E13AE" w:rsidRDefault="007E13AE" w:rsidP="007E13AE">
      <w:pPr>
        <w:pStyle w:val="ListParagraph"/>
        <w:numPr>
          <w:ilvl w:val="0"/>
          <w:numId w:val="41"/>
        </w:numPr>
        <w:spacing w:after="8"/>
        <w:jc w:val="both"/>
        <w:rPr>
          <w:rFonts w:ascii="Times New Roman" w:hAnsi="Times New Roman" w:cs="Times New Roman"/>
          <w:color w:val="000000" w:themeColor="text1"/>
          <w:sz w:val="28"/>
          <w:szCs w:val="28"/>
          <w:lang w:val="ro-RO"/>
        </w:rPr>
      </w:pPr>
      <w:r w:rsidRPr="007E13AE">
        <w:rPr>
          <w:rFonts w:ascii="Times New Roman" w:hAnsi="Times New Roman" w:cs="Times New Roman"/>
          <w:b/>
          <w:color w:val="000000" w:themeColor="text1"/>
          <w:sz w:val="28"/>
          <w:szCs w:val="28"/>
          <w:lang w:val="ro-RO"/>
        </w:rPr>
        <w:t>Se introduce posibilitatea ca operatorii economici să diminueze conținutul de biocarburant din volumele de benzină puse pe piață de la 8% la minim 2%</w:t>
      </w:r>
      <w:r w:rsidRPr="007E13AE">
        <w:rPr>
          <w:rFonts w:ascii="Times New Roman" w:hAnsi="Times New Roman" w:cs="Times New Roman"/>
          <w:color w:val="000000" w:themeColor="text1"/>
          <w:sz w:val="28"/>
          <w:szCs w:val="28"/>
          <w:lang w:val="ro-RO"/>
        </w:rPr>
        <w:t xml:space="preserve"> pentru benzină, pe perioada de aplicare a măsurilor de protecție. Aplicarea acestei </w:t>
      </w:r>
      <w:r w:rsidRPr="007E13AE">
        <w:rPr>
          <w:rFonts w:ascii="Times New Roman" w:hAnsi="Times New Roman" w:cs="Times New Roman"/>
          <w:color w:val="000000" w:themeColor="text1"/>
          <w:sz w:val="28"/>
          <w:szCs w:val="28"/>
          <w:lang w:val="ro-RO"/>
        </w:rPr>
        <w:lastRenderedPageBreak/>
        <w:t xml:space="preserve">măsuri conduce la evitarea riscului ca operatorii economici să întâmpine dificultăți în asigurarea simultană a volumelor necesare de carburanți și a respectării cerințelor privind conținutul de biocarburant, fapt care ar conduce la disfuncționalități în aprovizionarea pieței interne. </w:t>
      </w:r>
    </w:p>
    <w:p w14:paraId="572F51CC"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4D61D0B5" w14:textId="77777777" w:rsidR="007E13AE" w:rsidRPr="007E13AE" w:rsidRDefault="007E13AE" w:rsidP="007E13AE">
      <w:pPr>
        <w:pStyle w:val="ListParagraph"/>
        <w:numPr>
          <w:ilvl w:val="0"/>
          <w:numId w:val="40"/>
        </w:numPr>
        <w:spacing w:after="8"/>
        <w:jc w:val="both"/>
        <w:rPr>
          <w:rFonts w:ascii="Times New Roman" w:hAnsi="Times New Roman" w:cs="Times New Roman"/>
          <w:color w:val="000000" w:themeColor="text1"/>
          <w:sz w:val="28"/>
          <w:szCs w:val="28"/>
          <w:lang w:val="ro-RO"/>
        </w:rPr>
      </w:pPr>
      <w:r w:rsidRPr="007E13AE">
        <w:rPr>
          <w:rFonts w:ascii="Times New Roman" w:hAnsi="Times New Roman" w:cs="Times New Roman"/>
          <w:b/>
          <w:color w:val="000000" w:themeColor="text1"/>
          <w:sz w:val="28"/>
          <w:szCs w:val="28"/>
          <w:lang w:val="ro-RO"/>
        </w:rPr>
        <w:t>Pentru a asigura necesarul intern de consum, exportul de motorină și țiței se va efectua doar după obținerea acordului ministerului cu atribuții în domeniul economic și ministerul de resort.</w:t>
      </w:r>
      <w:r w:rsidRPr="007E13AE">
        <w:rPr>
          <w:rFonts w:ascii="Times New Roman" w:hAnsi="Times New Roman" w:cs="Times New Roman"/>
          <w:color w:val="000000" w:themeColor="text1"/>
          <w:sz w:val="28"/>
          <w:szCs w:val="28"/>
          <w:lang w:val="ro-RO"/>
        </w:rPr>
        <w:t xml:space="preserve"> Mai exact, pe durata situației de criză încheierea și/sau executarea contractelor de export și/sau de livrare intracomunitară de motorină si țiței se pot realiza de către operatorii economici exclusiv cu acordul prealabil scris emis de către Ministerul Economiei, Digitalizării, Antreprenoriatului și Turismului și Ministerul Energiei. Obținerea unui acord prealabil pentru realizarea exporturilor/vânzărilor intracomunitare de motorină si țiței este determinată de existența unui dezechilibru structural la nivelul pieței naționale a produselor petroliere, caracterizat printr-un excedent de benzină și un deficit de motorină. Această condiție va fi ulterior reglementată printr-o procedură de emitere a acordului respectiv prin ordin al ministrului economiei, digitalizării, antreprenoriatului și turismului și ministrului energiei.</w:t>
      </w:r>
    </w:p>
    <w:p w14:paraId="3C90822D" w14:textId="5B09DBEB" w:rsidR="007E13AE" w:rsidRPr="007E13AE" w:rsidRDefault="007E13AE" w:rsidP="007E13AE">
      <w:pPr>
        <w:pStyle w:val="ListParagraph"/>
        <w:numPr>
          <w:ilvl w:val="0"/>
          <w:numId w:val="40"/>
        </w:numPr>
        <w:spacing w:after="8"/>
        <w:jc w:val="both"/>
        <w:rPr>
          <w:rFonts w:ascii="Times New Roman" w:hAnsi="Times New Roman" w:cs="Times New Roman"/>
          <w:color w:val="000000" w:themeColor="text1"/>
          <w:sz w:val="28"/>
          <w:szCs w:val="28"/>
          <w:lang w:val="ro-RO"/>
        </w:rPr>
      </w:pPr>
      <w:r w:rsidRPr="007E13AE">
        <w:rPr>
          <w:rFonts w:ascii="Times New Roman" w:hAnsi="Times New Roman" w:cs="Times New Roman"/>
          <w:color w:val="000000" w:themeColor="text1"/>
          <w:sz w:val="28"/>
          <w:szCs w:val="28"/>
          <w:lang w:val="ro-RO"/>
        </w:rPr>
        <w:t>Exporturile realizate fără avizele necesare vor fi sancționate cu amendă între 5% și 10% din cifra de afaceri, precum și cu măsura complementară de confiscare a bunurilor destinate, folosite sau rezultate din contravenții</w:t>
      </w:r>
      <w:r>
        <w:rPr>
          <w:rFonts w:ascii="Times New Roman" w:hAnsi="Times New Roman" w:cs="Times New Roman"/>
          <w:color w:val="000000" w:themeColor="text1"/>
          <w:sz w:val="28"/>
          <w:szCs w:val="28"/>
          <w:lang w:val="ro-RO"/>
        </w:rPr>
        <w:t>.</w:t>
      </w:r>
    </w:p>
    <w:p w14:paraId="0EDECAB2"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1412DA0C"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b/>
          <w:color w:val="000000" w:themeColor="text1"/>
          <w:sz w:val="28"/>
          <w:szCs w:val="28"/>
        </w:rPr>
        <w:t>Ordonanța de Urgență conține și unele modificări privind piața gazelor naturale.</w:t>
      </w:r>
      <w:r w:rsidRPr="007E13AE">
        <w:rPr>
          <w:rFonts w:ascii="Times New Roman" w:hAnsi="Times New Roman" w:cs="Times New Roman"/>
          <w:color w:val="000000" w:themeColor="text1"/>
          <w:sz w:val="28"/>
          <w:szCs w:val="28"/>
        </w:rPr>
        <w:t xml:space="preserve"> Scopul acestora este de: </w:t>
      </w:r>
    </w:p>
    <w:p w14:paraId="3243A77F"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Eliminare a ambiguităților juridice și a riscului de interpretare neunitară;</w:t>
      </w:r>
    </w:p>
    <w:p w14:paraId="687D8242"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Asigurarea delimitării corecte a atribuțiilor instituțiilor publice;</w:t>
      </w:r>
    </w:p>
    <w:p w14:paraId="31FB16FD"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Evitarea unor disfuncționalități în implementarea mecanismului de alocare a gazelor naturale;</w:t>
      </w:r>
    </w:p>
    <w:p w14:paraId="08ADA8CD"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Prevenirea apariției unor dezechilibre între participanții la piață;</w:t>
      </w:r>
    </w:p>
    <w:p w14:paraId="09317F7E"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Reducerea riscului de litigii generate de aplicarea neclară a prevederilor legale.</w:t>
      </w:r>
    </w:p>
    <w:p w14:paraId="4AF4AF08"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27EBB0D5"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În lipsa acestor intervenții legislative, ar fi existat riscuri privind asigurarea continuității în aprovizionarea consumatorilor și blocaje operaționale în piața gazelor naturale.</w:t>
      </w:r>
    </w:p>
    <w:p w14:paraId="17EB9693"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43FC4BE9"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Principalele modificări cu privire la gazele naturale sunt:</w:t>
      </w:r>
    </w:p>
    <w:p w14:paraId="40F90090"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Instituirea unui mecanism clar de repartizare proporțională a cantităților disponibile, în funcție de consumul estimat al clienților fiecărui furnizor;</w:t>
      </w:r>
    </w:p>
    <w:p w14:paraId="2B9762C4"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 xml:space="preserve">Introducerea unor prevederi detaliate privind defalcarea cantităților pe categorii de consum; </w:t>
      </w:r>
    </w:p>
    <w:p w14:paraId="69B4B37F"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Stabilirea unor reguli explicite de calcul, inclusiv: determinarea stocurilor minime, calculul diferențelor între consumul estimat și cantitățile alocate, recalcularea cantităților în funcție de evoluția consumului;</w:t>
      </w:r>
    </w:p>
    <w:p w14:paraId="5456F51D"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Reglementarea unui mecanism de recalculare și ajustare periodică, pe baza datelor transmise de operatorii din piață;</w:t>
      </w:r>
    </w:p>
    <w:p w14:paraId="27063B8B" w14:textId="77777777" w:rsidR="007E13AE" w:rsidRPr="007E13AE" w:rsidRDefault="007E13AE" w:rsidP="007E13AE">
      <w:pPr>
        <w:spacing w:after="8"/>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w:t>
      </w:r>
      <w:r w:rsidRPr="007E13AE">
        <w:rPr>
          <w:rFonts w:ascii="Times New Roman" w:hAnsi="Times New Roman" w:cs="Times New Roman"/>
          <w:color w:val="000000" w:themeColor="text1"/>
          <w:sz w:val="28"/>
          <w:szCs w:val="28"/>
        </w:rPr>
        <w:tab/>
        <w:t>Instituirea unor obligații privind transmiterea și actualizarea datelor între producători, furnizori și autoritățile competente.</w:t>
      </w:r>
    </w:p>
    <w:p w14:paraId="35270D74" w14:textId="77777777" w:rsidR="007E13AE" w:rsidRPr="007E13AE" w:rsidRDefault="007E13AE" w:rsidP="007E13AE">
      <w:pPr>
        <w:spacing w:after="8"/>
        <w:jc w:val="both"/>
        <w:rPr>
          <w:rFonts w:ascii="Times New Roman" w:hAnsi="Times New Roman" w:cs="Times New Roman"/>
          <w:color w:val="000000" w:themeColor="text1"/>
          <w:sz w:val="28"/>
          <w:szCs w:val="28"/>
        </w:rPr>
      </w:pPr>
    </w:p>
    <w:p w14:paraId="363BD955" w14:textId="77777777" w:rsidR="007E13AE" w:rsidRPr="007E13AE" w:rsidRDefault="007E13AE" w:rsidP="007E13AE">
      <w:pPr>
        <w:jc w:val="both"/>
        <w:rPr>
          <w:rFonts w:ascii="Times New Roman" w:hAnsi="Times New Roman" w:cs="Times New Roman"/>
          <w:color w:val="000000" w:themeColor="text1"/>
          <w:sz w:val="28"/>
          <w:szCs w:val="28"/>
        </w:rPr>
      </w:pPr>
      <w:r w:rsidRPr="007E13AE">
        <w:rPr>
          <w:rFonts w:ascii="Times New Roman" w:hAnsi="Times New Roman" w:cs="Times New Roman"/>
          <w:color w:val="000000" w:themeColor="text1"/>
          <w:sz w:val="28"/>
          <w:szCs w:val="28"/>
        </w:rPr>
        <w:t xml:space="preserve">Actul normativ adoptat de Guvern instituie și un mecanism de verificare a aplicării acestor prevederi de către instituțiile statului, iar, în cazul constatării încălcării măsurilor, un set de </w:t>
      </w:r>
      <w:r w:rsidRPr="007E13AE">
        <w:rPr>
          <w:rFonts w:ascii="Times New Roman" w:hAnsi="Times New Roman" w:cs="Times New Roman"/>
          <w:color w:val="000000" w:themeColor="text1"/>
          <w:sz w:val="28"/>
          <w:szCs w:val="28"/>
        </w:rPr>
        <w:lastRenderedPageBreak/>
        <w:t>contravenții care vor fi puse în aplicare. Astfel, pentru punerea în aplicare a prezentei ordonanțe de urgență, operatorii economici, persoane fizice sau juridice, au obligația de a transmite lunar Consiliului Concurenței, Agenției Naționale de Administrare Fiscală, Autorității Naționale pentru Protecția Consumatorilor și Ministerului Energiei, în cel mult 20 zile calendaristice de la încheierea lunii de raportare, rapoarte privind modul de aplicare a prevederilor atului normativ, inclusiv date și informații referitoare la prețurile practicate.</w:t>
      </w:r>
    </w:p>
    <w:p w14:paraId="698B934B" w14:textId="77777777" w:rsidR="007E13AE" w:rsidRPr="007E13AE" w:rsidRDefault="007E13AE" w:rsidP="007E13AE">
      <w:pPr>
        <w:spacing w:after="8"/>
        <w:jc w:val="both"/>
        <w:rPr>
          <w:rFonts w:ascii="Times New Roman" w:hAnsi="Times New Roman" w:cs="Times New Roman"/>
          <w:color w:val="000000" w:themeColor="text1"/>
          <w:sz w:val="28"/>
          <w:szCs w:val="28"/>
        </w:rPr>
      </w:pPr>
      <w:bookmarkStart w:id="2" w:name="_Hlk217302570"/>
      <w:r w:rsidRPr="007E13AE">
        <w:rPr>
          <w:rFonts w:ascii="Times New Roman" w:hAnsi="Times New Roman" w:cs="Times New Roman"/>
          <w:color w:val="000000" w:themeColor="text1"/>
          <w:sz w:val="28"/>
          <w:szCs w:val="28"/>
        </w:rPr>
        <w:t xml:space="preserve">La nivelul Guvernului, grupul de lucru constituit în scopul identificării și promovării soluțiilor de protecție a cetățenilor și economiei în contextul crizei carburanților va continua să monitorizeze situația internațională și să propună noi măsuri adaptate conjuncturii globale. </w:t>
      </w:r>
    </w:p>
    <w:bookmarkEnd w:id="0"/>
    <w:bookmarkEnd w:id="2"/>
    <w:p w14:paraId="7DBC6B6D" w14:textId="77777777" w:rsidR="004B35B0" w:rsidRPr="00CF19D1" w:rsidRDefault="004B35B0" w:rsidP="004B35B0">
      <w:pPr>
        <w:pStyle w:val="ListParagraph"/>
        <w:autoSpaceDE w:val="0"/>
        <w:autoSpaceDN w:val="0"/>
        <w:adjustRightInd w:val="0"/>
        <w:ind w:left="1080"/>
        <w:jc w:val="both"/>
        <w:rPr>
          <w:rFonts w:ascii="Times New Roman" w:hAnsi="Times New Roman" w:cs="Times New Roman"/>
          <w:b/>
          <w:sz w:val="28"/>
          <w:szCs w:val="28"/>
          <w:u w:val="single"/>
          <w:lang w:val="ro-RO"/>
        </w:rPr>
      </w:pPr>
    </w:p>
    <w:p w14:paraId="4B4DE181" w14:textId="04438623" w:rsidR="00BE1258" w:rsidRPr="00CF19D1" w:rsidRDefault="00BE1258" w:rsidP="00BE1258">
      <w:pPr>
        <w:pStyle w:val="ListParagraph"/>
        <w:numPr>
          <w:ilvl w:val="0"/>
          <w:numId w:val="6"/>
        </w:numPr>
        <w:autoSpaceDE w:val="0"/>
        <w:autoSpaceDN w:val="0"/>
        <w:adjustRightInd w:val="0"/>
        <w:jc w:val="both"/>
        <w:rPr>
          <w:rFonts w:ascii="Times New Roman" w:hAnsi="Times New Roman" w:cs="Times New Roman"/>
          <w:bCs/>
          <w:iCs/>
          <w:sz w:val="28"/>
          <w:szCs w:val="28"/>
          <w:shd w:val="clear" w:color="auto" w:fill="FFFFFF"/>
          <w:lang w:val="ro-RO"/>
        </w:rPr>
      </w:pPr>
      <w:r w:rsidRPr="00CF19D1">
        <w:rPr>
          <w:rFonts w:ascii="Times New Roman" w:hAnsi="Times New Roman" w:cs="Times New Roman"/>
          <w:b/>
          <w:bCs/>
          <w:iCs/>
          <w:sz w:val="28"/>
          <w:szCs w:val="28"/>
          <w:shd w:val="clear" w:color="auto" w:fill="FFFFFF"/>
          <w:lang w:val="ro-RO"/>
        </w:rPr>
        <w:t xml:space="preserve">ORDONANȚĂ DE URGENȚĂ </w:t>
      </w:r>
      <w:r w:rsidRPr="00CF19D1">
        <w:rPr>
          <w:rFonts w:ascii="Times New Roman" w:hAnsi="Times New Roman" w:cs="Times New Roman"/>
          <w:bCs/>
          <w:iCs/>
          <w:sz w:val="28"/>
          <w:szCs w:val="28"/>
          <w:shd w:val="clear" w:color="auto" w:fill="FFFFFF"/>
          <w:lang w:val="ro-RO"/>
        </w:rPr>
        <w:t>pentru modificarea și completarea Ordonanței de urgență a Guvernului nr. 62/2025 privind măsurile de punere în aplicare a Regulamentului (UE) 2025/1106 al Consiliului din 27 mai 2025 de instituire a Instrumentului "Acţiunea pentru securitatea Europei" (SAFE) prin consolidarea industriei europene de apărare precum şi pentru modificarea şi completarea unor acte normative</w:t>
      </w:r>
    </w:p>
    <w:p w14:paraId="1EB09A1F" w14:textId="0586BA01" w:rsidR="00563DE3" w:rsidRPr="00CF19D1" w:rsidRDefault="00563DE3" w:rsidP="00563DE3">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Guvernul a adoptat un pachet de modificări și completări la OUG nr. 62/2025 privind măsurile de punere în aplicare a Regulamentului (UE) 2025/1.106 al Consiliului din 27 mai 2025 de instituire a Instrumentului "</w:t>
      </w:r>
      <w:r w:rsidR="00CF19D1" w:rsidRPr="00CF19D1">
        <w:rPr>
          <w:rFonts w:ascii="Times New Roman" w:hAnsi="Times New Roman" w:cs="Times New Roman"/>
          <w:color w:val="000000" w:themeColor="text1"/>
          <w:sz w:val="28"/>
          <w:szCs w:val="28"/>
          <w:lang w:val="ro-RO"/>
        </w:rPr>
        <w:t>Acțiunea</w:t>
      </w:r>
      <w:r w:rsidRPr="00CF19D1">
        <w:rPr>
          <w:rFonts w:ascii="Times New Roman" w:hAnsi="Times New Roman" w:cs="Times New Roman"/>
          <w:color w:val="000000" w:themeColor="text1"/>
          <w:sz w:val="28"/>
          <w:szCs w:val="28"/>
          <w:lang w:val="ro-RO"/>
        </w:rPr>
        <w:t xml:space="preserve"> pentru securitatea Europei" (SAFE) prin consolidarea industriei europene de apărare, pentru a asigura implementarea rapidă și eficientă a Planului național de investiții pentru industria europeană de apărare. </w:t>
      </w:r>
    </w:p>
    <w:p w14:paraId="0D5704E7" w14:textId="793ED660" w:rsidR="00563DE3" w:rsidRPr="00CF19D1" w:rsidRDefault="00563DE3" w:rsidP="00563DE3">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Principalele schimbări vizează completarea cadrului instituțional, financiar și procedural, astfel încât România să poată semna contractele de achiziții până la termenul limită de 30 mai 2026</w:t>
      </w:r>
      <w:r w:rsidR="000D1029" w:rsidRPr="00CF19D1">
        <w:rPr>
          <w:rFonts w:ascii="Times New Roman" w:hAnsi="Times New Roman" w:cs="Times New Roman"/>
          <w:color w:val="000000" w:themeColor="text1"/>
          <w:sz w:val="28"/>
          <w:szCs w:val="28"/>
          <w:lang w:val="ro-RO"/>
        </w:rPr>
        <w:t>,</w:t>
      </w:r>
      <w:r w:rsidRPr="00CF19D1">
        <w:rPr>
          <w:rFonts w:ascii="Times New Roman" w:hAnsi="Times New Roman" w:cs="Times New Roman"/>
          <w:color w:val="000000" w:themeColor="text1"/>
          <w:sz w:val="28"/>
          <w:szCs w:val="28"/>
          <w:lang w:val="ro-RO"/>
        </w:rPr>
        <w:t xml:space="preserve"> fără blocaje administrative sau bugetare.  </w:t>
      </w:r>
    </w:p>
    <w:p w14:paraId="379802D6" w14:textId="77777777" w:rsidR="00563DE3" w:rsidRPr="00CF19D1" w:rsidRDefault="00563DE3" w:rsidP="00563DE3">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Pentru Ministerul Finanțelor sunt introduse atribuții extinse privind gestionarea financiară a programului SAFE. Acesta semnează acordul de împrumut și acordul operațional cu Comisia Europeană, administrează fluxurile financiare și tragerile din împrumut, inclusiv prefinanțarea, și asigură evidența și utilizarea fondurilor în conformitate cu regulile privind datoria publică. Totodată, Ministerul Finanțelor coordonează mecanismele de control financiar și centralizează raportările privind justificarea cheltuielilor pe întreaga durată a implementării Planului.</w:t>
      </w:r>
    </w:p>
    <w:p w14:paraId="7F2DA4B5" w14:textId="77777777" w:rsidR="00563DE3" w:rsidRPr="00CF19D1" w:rsidRDefault="00563DE3" w:rsidP="00563DE3">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Se introduce instrumentul „acordului de cooperare”, care reglementează obligațiile industriale de cooperare economică, iar recepția produselor este condiționată de îndeplinirea acestor obligații, certificate înainte de livrare. Acest mecanism asigură că investițiile nu se opresc la achiziții punctuale, ci generează efecte reale în economie, locuri de muncă și dezvoltarea capacitaților industriale în România.</w:t>
      </w:r>
    </w:p>
    <w:p w14:paraId="59B4E7E9" w14:textId="2412C806" w:rsidR="00563DE3" w:rsidRPr="00CF19D1" w:rsidRDefault="00563DE3" w:rsidP="00563DE3">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În ansamblu, modificările consolidează capacitatea administrativă a statului de a absorbi finanțarea europeană și de a implementa rapid proiectele de înzestrare și dezvoltare industrială în domeniul apărării și securității naționale.</w:t>
      </w:r>
    </w:p>
    <w:p w14:paraId="7F9059DB" w14:textId="2E0DD53F" w:rsidR="00CF19D1" w:rsidRPr="00CF19D1" w:rsidRDefault="00CF19D1" w:rsidP="00563DE3">
      <w:pPr>
        <w:jc w:val="both"/>
        <w:rPr>
          <w:rFonts w:ascii="Times New Roman" w:hAnsi="Times New Roman" w:cs="Times New Roman"/>
          <w:color w:val="000000" w:themeColor="text1"/>
          <w:sz w:val="28"/>
          <w:szCs w:val="28"/>
          <w:lang w:val="ro-RO"/>
        </w:rPr>
      </w:pPr>
    </w:p>
    <w:p w14:paraId="360837CB" w14:textId="2C8F1968" w:rsidR="00CF19D1" w:rsidRPr="00CF19D1" w:rsidRDefault="00CF19D1" w:rsidP="00CF19D1">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De asemenea, actul normativ introduce o serie de modificări pentru optimizarea implementării PNRR în România, prin completarea și ajustarea dispozițiilor din Legea nr. 102/2024, care aprobă OUG nr. 8/2024 pentru modificarea OUG nr. 124/2021 privind cadrul instituțional și financiar pentru gestionarea fondurilor europene alocate României prin Mecanismul de redresare și reziliență, precum și prin actualizarea OUG nr. 155/2020 referitoare la elaborarea Planului național de redresare și reziliență, necesar accesării fondurilor externe rambursabile și nerambursabile.</w:t>
      </w:r>
    </w:p>
    <w:p w14:paraId="7451496C" w14:textId="77777777" w:rsidR="00CF19D1" w:rsidRPr="00CF19D1" w:rsidRDefault="00CF19D1" w:rsidP="00CF19D1">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 xml:space="preserve">Astfel, se introduce posibilitatea prelungirii duratei contractelor, deciziilor și ordinelor de finanțare până la 31 august 2026, printr-un mecanism simplificat de notificare. Această </w:t>
      </w:r>
      <w:r w:rsidRPr="00CF19D1">
        <w:rPr>
          <w:rFonts w:ascii="Times New Roman" w:hAnsi="Times New Roman" w:cs="Times New Roman"/>
          <w:color w:val="000000" w:themeColor="text1"/>
          <w:sz w:val="28"/>
          <w:szCs w:val="28"/>
          <w:lang w:val="ro-RO"/>
        </w:rPr>
        <w:lastRenderedPageBreak/>
        <w:t>procedură elimină birocrația asociată încheierii actelor adiționale, asigurând în același timp verificarea și validarea de către coordonatorii de reformă sau investiții, cu un termen de răspuns de 5 zile lucrătoare, iar lipsa unui răspuns produce aprobare tacită. Pentru componentele cu un volum mare de proiecte, precum Valul renovării, Fondul local și Educație, prelungirea se realizează prin notificare de către Ministerul Dezvoltării, Lucrărilor Publice și Administrației, folosind platforma sa informatică, evitând astfel procesarea individuală a mii de solicitări.</w:t>
      </w:r>
    </w:p>
    <w:p w14:paraId="6D7ABCE7" w14:textId="7BC63149" w:rsidR="00CF19D1" w:rsidRPr="00CF19D1" w:rsidRDefault="00CF19D1" w:rsidP="00CF19D1">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Se prevede, totodată, implicarea agențiilor de dezvoltare regională în monitorizarea tehnică a progresului fizic al investițiilor, la solicitarea MIPE, dar strict conform instrucțiunilor coordonatorului național. Această măsură aduce flexibilitate, eficiență și permite identificarea în timp real a proiectelor cu risc de întârziere, păstrând în același timp un control centralizat.</w:t>
      </w:r>
    </w:p>
    <w:p w14:paraId="63BAA6EE" w14:textId="1AB6FE4B" w:rsidR="00CF19D1" w:rsidRPr="00CF19D1" w:rsidRDefault="00CF19D1" w:rsidP="00CF19D1">
      <w:pPr>
        <w:jc w:val="both"/>
        <w:rPr>
          <w:rFonts w:ascii="Times New Roman" w:hAnsi="Times New Roman" w:cs="Times New Roman"/>
          <w:color w:val="000000" w:themeColor="text1"/>
          <w:sz w:val="28"/>
          <w:szCs w:val="28"/>
          <w:lang w:val="ro-RO"/>
        </w:rPr>
      </w:pPr>
      <w:r w:rsidRPr="00CF19D1">
        <w:rPr>
          <w:rFonts w:ascii="Times New Roman" w:hAnsi="Times New Roman" w:cs="Times New Roman"/>
          <w:color w:val="000000" w:themeColor="text1"/>
          <w:sz w:val="28"/>
          <w:szCs w:val="28"/>
          <w:lang w:val="ro-RO"/>
        </w:rPr>
        <w:t>Prin aceste modificări se urmărește simplificarea procedurilor administrative, creșterea predictibilității și a siguranței fluxurilor financiare, precum și asigurarea implementării proiectelor PNRR până la termenul limită din 2026.</w:t>
      </w:r>
    </w:p>
    <w:p w14:paraId="11EDA0D1" w14:textId="77777777" w:rsidR="00CF19D1" w:rsidRPr="00CF19D1" w:rsidRDefault="00CF19D1" w:rsidP="00CF19D1">
      <w:pPr>
        <w:jc w:val="both"/>
        <w:rPr>
          <w:rFonts w:ascii="Times New Roman" w:hAnsi="Times New Roman" w:cs="Times New Roman"/>
          <w:color w:val="000000" w:themeColor="text1"/>
          <w:sz w:val="28"/>
          <w:szCs w:val="28"/>
          <w:lang w:val="ro-RO"/>
        </w:rPr>
      </w:pPr>
    </w:p>
    <w:p w14:paraId="65C0BC8A" w14:textId="77777777" w:rsidR="00CF19D1" w:rsidRPr="00CF19D1" w:rsidRDefault="00CF19D1" w:rsidP="00563DE3">
      <w:pPr>
        <w:jc w:val="both"/>
        <w:rPr>
          <w:rFonts w:ascii="Times New Roman" w:hAnsi="Times New Roman" w:cs="Times New Roman"/>
          <w:b/>
          <w:color w:val="000000" w:themeColor="text1"/>
          <w:sz w:val="28"/>
          <w:szCs w:val="28"/>
          <w:lang w:val="ro-RO"/>
        </w:rPr>
      </w:pPr>
    </w:p>
    <w:p w14:paraId="12512296" w14:textId="69084010" w:rsidR="00136C60" w:rsidRPr="00CF19D1" w:rsidRDefault="00136C60" w:rsidP="00136C60">
      <w:pPr>
        <w:pStyle w:val="ListParagraph"/>
        <w:numPr>
          <w:ilvl w:val="0"/>
          <w:numId w:val="6"/>
        </w:numPr>
        <w:autoSpaceDE w:val="0"/>
        <w:autoSpaceDN w:val="0"/>
        <w:adjustRightInd w:val="0"/>
        <w:jc w:val="both"/>
        <w:rPr>
          <w:rFonts w:ascii="Times New Roman" w:hAnsi="Times New Roman" w:cs="Times New Roman"/>
          <w:bCs/>
          <w:iCs/>
          <w:sz w:val="28"/>
          <w:szCs w:val="28"/>
          <w:shd w:val="clear" w:color="auto" w:fill="FFFFFF"/>
          <w:lang w:val="ro-RO"/>
        </w:rPr>
      </w:pPr>
      <w:r w:rsidRPr="00CF19D1">
        <w:rPr>
          <w:rFonts w:ascii="Times New Roman" w:hAnsi="Times New Roman" w:cs="Times New Roman"/>
          <w:b/>
          <w:sz w:val="28"/>
          <w:szCs w:val="28"/>
          <w:lang w:val="ro-RO"/>
        </w:rPr>
        <w:t>ORDONANȚĂ DE URGENȚĂ</w:t>
      </w:r>
      <w:r w:rsidRPr="00CF19D1">
        <w:rPr>
          <w:rFonts w:ascii="Times New Roman" w:hAnsi="Times New Roman" w:cs="Times New Roman"/>
          <w:sz w:val="28"/>
          <w:szCs w:val="28"/>
          <w:lang w:val="ro-RO"/>
        </w:rPr>
        <w:t xml:space="preserve"> privind unele măsuri pentru decarbonizarea sectorului energetic</w:t>
      </w:r>
    </w:p>
    <w:p w14:paraId="346F4855" w14:textId="33C98572"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Actul normativ introduce noi măsuri pentru modificarea Ordonanței de urgență a Guvernului nr. 108/2022 privind decarbonizarea sectorului energetic, în vederea alinierii depline la cerințele asumate prin Planul Național de Redresare și Reziliență (PNRR) și la solicitările Comisiei Europene.</w:t>
      </w:r>
    </w:p>
    <w:p w14:paraId="2C36ADEF" w14:textId="77777777"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Modificările vizează, în principal, asigurarea caracterului ireversibil al Jalonului 114 din PNRR, precum și respectarea calendarului de retragere din exploatare a capacităților energetice pe bază de lignit și huilă. Astfel, se menține angajamentul privind retragerea a 1.045 MW până la sfârșitul anului 2025 și a încă 710 MW până la data de 31 august 2026, conform valorilor convenite la nivel european.</w:t>
      </w:r>
    </w:p>
    <w:p w14:paraId="48BB877C" w14:textId="70606B81"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Totodată, actul normativ prevede abrogarea dispozițiilor introduse prin OUG nr. 88/2025 privind reducerea puterii electrice instalate, în scopul alinierii cadrului legislativ la poziția Comisiei Europene. Această ajustare elimină riscul ca îndeplinirea Țintei 119 să fie realizată prin mecanisme care ar putea conduce la reversibilitatea Jalonului 114.</w:t>
      </w:r>
    </w:p>
    <w:p w14:paraId="5D497BD5" w14:textId="77777777"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Noile reglementări introduc, de asemenea, măsuri suplimentare pentru asigurarea conformării operatorilor economici. În contextul în care neîndeplinirea obligațiilor poate genera prejudicii semnificative statului român, inclusiv penalități externe de până la 1,8 miliarde euro, sancțiunile exclusiv pecuniare sunt completate cu măsuri suplimentare menite să descurajeze orice acțiuni care ar putea încălca prevederile legale sau angajamentele asumate prin PNRR.</w:t>
      </w:r>
    </w:p>
    <w:p w14:paraId="672087C6" w14:textId="77777777"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Adoptarea acestor măsuri este justificată de necesitatea protejării interesului public major, prin evitarea unor pierderi semnificative la bugetul de stat și prin asigurarea respectării obligațiilor asumate de România la nivelul Uniunii Europene.</w:t>
      </w:r>
    </w:p>
    <w:p w14:paraId="66059842" w14:textId="77777777" w:rsidR="00136C60" w:rsidRPr="00CF19D1" w:rsidRDefault="00136C60" w:rsidP="00136C60">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Prin acest demers, Guvernul reafirmă angajamentul pentru continuarea procesului de decarbonizare într-un mod ireversibil și sustenabil, precum și pentru evitarea blocajelor în evaluarea cererilor de plată aferente PNRR, asigurând astfel continuitatea finanțărilor europene destinate reformelor și investițiilor strategice.</w:t>
      </w:r>
    </w:p>
    <w:p w14:paraId="05D0EDA8" w14:textId="77777777" w:rsidR="00BE1258" w:rsidRPr="00CF19D1" w:rsidRDefault="00BE1258" w:rsidP="00BE1258">
      <w:pPr>
        <w:autoSpaceDE w:val="0"/>
        <w:autoSpaceDN w:val="0"/>
        <w:adjustRightInd w:val="0"/>
        <w:jc w:val="both"/>
        <w:rPr>
          <w:rFonts w:ascii="Times New Roman" w:hAnsi="Times New Roman" w:cs="Times New Roman"/>
          <w:b/>
          <w:bCs/>
          <w:iCs/>
          <w:sz w:val="28"/>
          <w:szCs w:val="28"/>
          <w:shd w:val="clear" w:color="auto" w:fill="FFFFFF"/>
          <w:lang w:val="ro-RO"/>
        </w:rPr>
      </w:pPr>
    </w:p>
    <w:p w14:paraId="3B39E6B3" w14:textId="2D7DAE6E" w:rsidR="00BE1258" w:rsidRPr="00CF19D1" w:rsidRDefault="00BE1258" w:rsidP="00BE1258">
      <w:pPr>
        <w:pStyle w:val="NoSpacing"/>
        <w:numPr>
          <w:ilvl w:val="0"/>
          <w:numId w:val="1"/>
        </w:numPr>
        <w:rPr>
          <w:b/>
          <w:szCs w:val="28"/>
          <w:u w:val="single"/>
          <w:lang w:val="ro-RO"/>
        </w:rPr>
      </w:pPr>
      <w:r w:rsidRPr="00CF19D1">
        <w:rPr>
          <w:b/>
          <w:szCs w:val="28"/>
          <w:u w:val="single"/>
          <w:lang w:val="ro-RO"/>
        </w:rPr>
        <w:t xml:space="preserve">HOTĂRÂRI DE GUVERN </w:t>
      </w:r>
    </w:p>
    <w:p w14:paraId="3754425C" w14:textId="2023CC54" w:rsidR="00BE1258" w:rsidRPr="00CF19D1" w:rsidRDefault="00BE1258" w:rsidP="00BE1258">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pentru aprobarea indicatorilor tehnico – economici aferenți obiectivului de investiţii ,,Drum Expres Suceava - Siret", judeţul Suceava</w:t>
      </w:r>
    </w:p>
    <w:p w14:paraId="0C0E3FE4" w14:textId="77777777" w:rsidR="00563DE3" w:rsidRPr="00CF19D1" w:rsidRDefault="00563DE3" w:rsidP="00563DE3">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lastRenderedPageBreak/>
        <w:t>Hotărârea aprobă indicatorii tehnico-economici și fondurile necesare pentru demararea lucrărilor de construire a drumului expres Suceava–Siret, care va asigura o conexiune rutieră modernă între Suceava și Siret, contribuind la dezvoltarea economică a regiunii, fluidizarea traficului și creșterea siguranței rutiere. Totodată, proiectul va reduce semnificativ timpii de deplasare și nivelul de poluare în localitățile tranzitate.</w:t>
      </w:r>
    </w:p>
    <w:p w14:paraId="19B5B3AB" w14:textId="77777777" w:rsidR="00563DE3" w:rsidRPr="00CF19D1" w:rsidRDefault="00563DE3" w:rsidP="00563DE3">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Investiția se ridică la 7,4 miliarde de lei, iar durata de execuție este estimată la 2 ani. Noul drum expres va avea o lungime de 55,7 kilometri.</w:t>
      </w:r>
    </w:p>
    <w:p w14:paraId="6ABA768B" w14:textId="79463DC3" w:rsidR="00563DE3" w:rsidRPr="00CF19D1" w:rsidRDefault="00563DE3" w:rsidP="00563DE3">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Finanțarea obiectivului de investiții se realizează din fonduri externe nerambursabile, prin instrumentul Acțiunea pentru Securitatea Europei (SAFE), precum și de la bugetul de stat, prin bugetul Ministerului Transporturilor și Infrastructurii.</w:t>
      </w:r>
    </w:p>
    <w:p w14:paraId="16BC5CBA" w14:textId="77777777" w:rsidR="00CF19D1" w:rsidRPr="00CF19D1" w:rsidRDefault="00CF19D1" w:rsidP="00563DE3">
      <w:pPr>
        <w:jc w:val="both"/>
        <w:rPr>
          <w:rFonts w:ascii="Times New Roman" w:hAnsi="Times New Roman" w:cs="Times New Roman"/>
          <w:sz w:val="28"/>
          <w:szCs w:val="28"/>
          <w:lang w:val="ro-RO"/>
        </w:rPr>
      </w:pPr>
    </w:p>
    <w:p w14:paraId="36829B63" w14:textId="4113EF3E" w:rsidR="00BE1258" w:rsidRPr="00CF19D1" w:rsidRDefault="00BE1258" w:rsidP="00BE1258">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pentru reaprobarea indicatorilor tehnico – economici aferenți obiectivului de investiţii "Drum Expres Petea - Satu Mare - Baia Mare, Sector Satu Mare - Baia Mare", județele Satu Mare și Maramureș</w:t>
      </w:r>
    </w:p>
    <w:p w14:paraId="06CD5F24" w14:textId="37ACD811" w:rsidR="00BE1258" w:rsidRPr="00CF19D1" w:rsidRDefault="00BE1258" w:rsidP="00BE1258">
      <w:pPr>
        <w:pStyle w:val="NoSpacing"/>
        <w:jc w:val="both"/>
        <w:rPr>
          <w:rFonts w:cs="Times New Roman"/>
          <w:szCs w:val="28"/>
          <w:lang w:val="ro-RO"/>
        </w:rPr>
      </w:pPr>
      <w:r w:rsidRPr="00CF19D1">
        <w:rPr>
          <w:rFonts w:cs="Times New Roman"/>
          <w:szCs w:val="28"/>
          <w:lang w:val="ro-RO"/>
        </w:rPr>
        <w:t xml:space="preserve">Guvernul a reaprobat indicatorii tehnico-economici ai obiectivului de investiții „Drum Expres Petea – Satu Mare – Baia Mare, sector Satu Mare – Baia Mare”, situat în județele Satu Mare și Maramureș. </w:t>
      </w:r>
    </w:p>
    <w:p w14:paraId="5455B747" w14:textId="77777777" w:rsidR="00FC01B2" w:rsidRPr="00CF19D1" w:rsidRDefault="00FC01B2" w:rsidP="00BE1258">
      <w:pPr>
        <w:pStyle w:val="NoSpacing"/>
        <w:jc w:val="both"/>
        <w:rPr>
          <w:lang w:val="ro-RO"/>
        </w:rPr>
      </w:pPr>
      <w:r w:rsidRPr="00CF19D1">
        <w:rPr>
          <w:lang w:val="ro-RO"/>
        </w:rPr>
        <w:t>Principala modificare a indicatorilor tehnici constă în reducerea lungimii traseului prin eliminarea sectorului Petea – Satu Mare, ca urmare a faptului că traseul drumului expres M49 din Ungaria, cu care trebuia să facă legătura sectorul de drum românesc, traversează o zonă cu restricții de mediu, ceea ce împiedică obținerea acordului de mediu.</w:t>
      </w:r>
    </w:p>
    <w:p w14:paraId="0FC79F9B" w14:textId="645CB9ED" w:rsidR="00BE1258" w:rsidRPr="00CF19D1" w:rsidRDefault="00BE1258" w:rsidP="00BE1258">
      <w:pPr>
        <w:pStyle w:val="NoSpacing"/>
        <w:jc w:val="both"/>
        <w:rPr>
          <w:rFonts w:eastAsia="Times New Roman" w:cs="Times New Roman"/>
          <w:szCs w:val="28"/>
          <w:lang w:val="ro-RO"/>
        </w:rPr>
      </w:pPr>
      <w:r w:rsidRPr="00CF19D1">
        <w:rPr>
          <w:rFonts w:cs="Times New Roman"/>
          <w:szCs w:val="28"/>
          <w:lang w:val="ro-RO"/>
        </w:rPr>
        <w:t>Investiția este estimată să fie finalizată în 3 ani și jumătate (42 de luni), iar valoarea totală se ridică la aproximativ 4,98 miliarde lei.</w:t>
      </w:r>
    </w:p>
    <w:p w14:paraId="7842B844" w14:textId="77777777" w:rsidR="00BE1258" w:rsidRPr="00CF19D1" w:rsidRDefault="00BE1258" w:rsidP="00BE1258">
      <w:pPr>
        <w:pStyle w:val="NoSpacing"/>
        <w:jc w:val="both"/>
        <w:rPr>
          <w:rFonts w:cs="Times New Roman"/>
          <w:szCs w:val="28"/>
          <w:lang w:val="ro-RO"/>
        </w:rPr>
      </w:pPr>
      <w:r w:rsidRPr="00CF19D1">
        <w:rPr>
          <w:rFonts w:cs="Times New Roman"/>
          <w:szCs w:val="28"/>
          <w:lang w:val="ro-RO"/>
        </w:rPr>
        <w:t xml:space="preserve">Finanțarea se asigură din fonduri externe nerambursabile, aferente </w:t>
      </w:r>
      <w:r w:rsidRPr="00CF19D1">
        <w:rPr>
          <w:rStyle w:val="whitespace-normal"/>
          <w:rFonts w:cs="Times New Roman"/>
          <w:szCs w:val="28"/>
          <w:lang w:val="ro-RO"/>
        </w:rPr>
        <w:t>Programului de Transport 2021–2027</w:t>
      </w:r>
      <w:r w:rsidRPr="00CF19D1">
        <w:rPr>
          <w:rFonts w:cs="Times New Roman"/>
          <w:szCs w:val="28"/>
          <w:lang w:val="ro-RO"/>
        </w:rPr>
        <w:t xml:space="preserve">, din bugetul de stat prin </w:t>
      </w:r>
      <w:r w:rsidRPr="00CF19D1">
        <w:rPr>
          <w:rStyle w:val="whitespace-normal"/>
          <w:rFonts w:cs="Times New Roman"/>
          <w:szCs w:val="28"/>
          <w:lang w:val="ro-RO"/>
        </w:rPr>
        <w:t>Ministerul Transporturilor și Infrastructurii</w:t>
      </w:r>
      <w:r w:rsidRPr="00CF19D1">
        <w:rPr>
          <w:rFonts w:cs="Times New Roman"/>
          <w:szCs w:val="28"/>
          <w:lang w:val="ro-RO"/>
        </w:rPr>
        <w:t>, în limita sumelor aprobate anual, precum și din alte surse legal constituite, conform programelor de investiții publice aprobate.</w:t>
      </w:r>
    </w:p>
    <w:p w14:paraId="32A3F7C9" w14:textId="533DFAD9" w:rsidR="00BE1258" w:rsidRPr="00CF19D1" w:rsidRDefault="00BE1258" w:rsidP="00BE1258">
      <w:pPr>
        <w:pStyle w:val="NoSpacing"/>
        <w:jc w:val="both"/>
        <w:rPr>
          <w:rFonts w:cs="Times New Roman"/>
          <w:szCs w:val="28"/>
          <w:lang w:val="ro-RO"/>
        </w:rPr>
      </w:pPr>
      <w:r w:rsidRPr="00CF19D1">
        <w:rPr>
          <w:rFonts w:cs="Times New Roman"/>
          <w:szCs w:val="28"/>
          <w:lang w:val="ro-RO"/>
        </w:rPr>
        <w:t xml:space="preserve">Sectorul de drum expres Satu Mare – Baia Mare are ca obiectiv realizarea unei legături rutiere rapide între cele două municipii și face parte din strategia națională de dezvoltare a infrastructurii rutiere, fiind inclus în </w:t>
      </w:r>
      <w:r w:rsidRPr="00CF19D1">
        <w:rPr>
          <w:rStyle w:val="whitespace-normal"/>
          <w:rFonts w:cs="Times New Roman"/>
          <w:szCs w:val="28"/>
          <w:lang w:val="ro-RO"/>
        </w:rPr>
        <w:t>Programul investițional pentru dezvoltarea infrastructurii de transport 2021–2030</w:t>
      </w:r>
      <w:r w:rsidRPr="00CF19D1">
        <w:rPr>
          <w:rFonts w:cs="Times New Roman"/>
          <w:szCs w:val="28"/>
          <w:lang w:val="ro-RO"/>
        </w:rPr>
        <w:t>.</w:t>
      </w:r>
    </w:p>
    <w:p w14:paraId="0BCD4847" w14:textId="77777777" w:rsidR="00CF19D1" w:rsidRPr="00CF19D1" w:rsidRDefault="00CF19D1" w:rsidP="00BE1258">
      <w:pPr>
        <w:pStyle w:val="NoSpacing"/>
        <w:jc w:val="both"/>
        <w:rPr>
          <w:rFonts w:cs="Times New Roman"/>
          <w:szCs w:val="28"/>
          <w:lang w:val="ro-RO"/>
        </w:rPr>
      </w:pPr>
    </w:p>
    <w:p w14:paraId="4B90083F" w14:textId="72759ED1" w:rsidR="00BE1258" w:rsidRPr="00CF19D1" w:rsidRDefault="00BE1258" w:rsidP="00BE1258">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trecerea din domeniul public al statului în domeniul privat al statului a unor bunuri aflate în administrarea Ministerului Transporturilor şi Infrastructurii şi în concesiunea Companiei Naţionale de Căi Ferate ''C.F.R." - S.A. – Sucursala Regională CF Timişoara pentru scoaterea din funcţiune, în vederea valorificării şi, după caz, casării</w:t>
      </w:r>
    </w:p>
    <w:p w14:paraId="6BA8AAF4" w14:textId="5D5A7F6B" w:rsidR="00BE1258" w:rsidRPr="00CF19D1" w:rsidRDefault="00BE1258" w:rsidP="00BE1258">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73D70B7A" w14:textId="77777777" w:rsidR="00CF19D1" w:rsidRPr="00CF19D1" w:rsidRDefault="00CF19D1" w:rsidP="00BE1258">
      <w:pPr>
        <w:autoSpaceDE w:val="0"/>
        <w:autoSpaceDN w:val="0"/>
        <w:adjustRightInd w:val="0"/>
        <w:jc w:val="both"/>
        <w:rPr>
          <w:rFonts w:ascii="TimesNewRoman" w:hAnsi="TimesNewRoman" w:cs="TimesNewRoman"/>
          <w:color w:val="000000"/>
          <w:sz w:val="28"/>
          <w:szCs w:val="28"/>
          <w:lang w:val="ro-RO"/>
        </w:rPr>
      </w:pPr>
    </w:p>
    <w:p w14:paraId="6F992636" w14:textId="2F4608DE" w:rsidR="00BE1258" w:rsidRPr="00CF19D1" w:rsidRDefault="00BE1258" w:rsidP="00BE1258">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w:t>
      </w:r>
      <w:r w:rsidRPr="00CF19D1">
        <w:rPr>
          <w:rFonts w:ascii="TimesNewRoman" w:hAnsi="TimesNewRoman" w:cs="TimesNewRoman"/>
          <w:color w:val="000000"/>
          <w:sz w:val="28"/>
          <w:szCs w:val="28"/>
          <w:lang w:val="ro-RO"/>
        </w:rPr>
        <w:t xml:space="preserve"> </w:t>
      </w:r>
      <w:r w:rsidRPr="00CF19D1">
        <w:rPr>
          <w:rFonts w:ascii="TimesNewRoman" w:hAnsi="TimesNewRoman" w:cs="TimesNewRoman"/>
          <w:b/>
          <w:color w:val="000000"/>
          <w:sz w:val="28"/>
          <w:szCs w:val="28"/>
          <w:lang w:val="ro-RO"/>
        </w:rPr>
        <w:t>GUVERN</w:t>
      </w:r>
      <w:r w:rsidRPr="00CF19D1">
        <w:rPr>
          <w:rFonts w:ascii="TimesNewRoman" w:hAnsi="TimesNewRoman" w:cs="TimesNewRoman"/>
          <w:color w:val="000000"/>
          <w:sz w:val="28"/>
          <w:szCs w:val="28"/>
          <w:lang w:val="ro-RO"/>
        </w:rPr>
        <w:t xml:space="preserve"> privind aprobarea cuantumului contribuției anuale de participare a României în calitate de membru afiliat Ia Asociația Internaţională a Securității Sociale (ISSA) pentru anul 2026</w:t>
      </w:r>
    </w:p>
    <w:p w14:paraId="272E86DE" w14:textId="015CB204" w:rsidR="00BE1258" w:rsidRPr="00CF19D1" w:rsidRDefault="00BE1258" w:rsidP="00BE1258">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Guvernul a aprobat cuantumul contribuției de participare a României, în calitate de membru afiliat, la Asociația Internațională a Securității Sociale (ISSA), pentru anul 2026, reprezentând echivalen</w:t>
      </w:r>
      <w:r w:rsidR="000D1029" w:rsidRPr="00CF19D1">
        <w:rPr>
          <w:rFonts w:ascii="Times New Roman" w:hAnsi="Times New Roman" w:cs="Times New Roman"/>
          <w:sz w:val="28"/>
          <w:szCs w:val="28"/>
          <w:lang w:val="ro-RO"/>
        </w:rPr>
        <w:t>tul în lei al sumei de 30.101</w:t>
      </w:r>
      <w:r w:rsidRPr="00CF19D1">
        <w:rPr>
          <w:rFonts w:ascii="Times New Roman" w:hAnsi="Times New Roman" w:cs="Times New Roman"/>
          <w:sz w:val="28"/>
          <w:szCs w:val="28"/>
          <w:lang w:val="ro-RO"/>
        </w:rPr>
        <w:t xml:space="preserve"> franci elvețieni.</w:t>
      </w:r>
    </w:p>
    <w:p w14:paraId="3EF8AC58" w14:textId="77777777" w:rsidR="00BE1258" w:rsidRPr="00CF19D1" w:rsidRDefault="00BE1258" w:rsidP="00BE1258">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Plata se efectuează de către Casa Națională de Pensii Publice, din bugetul asigurărilor sociale de stat aprobat pentru anul 2026.</w:t>
      </w:r>
    </w:p>
    <w:p w14:paraId="64F88090" w14:textId="77777777" w:rsidR="00BE1258" w:rsidRPr="00CF19D1" w:rsidRDefault="00BE1258" w:rsidP="00BE1258">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Asociația Internațională a Securității Sociale este cea mai importantă organizație internațională în domeniul securității sociale, reunind peste 340 de instituții publice responsabile de administrarea sistemelor de securitate socială, universități și centre de </w:t>
      </w:r>
      <w:r w:rsidRPr="00CF19D1">
        <w:rPr>
          <w:rFonts w:ascii="Times New Roman" w:hAnsi="Times New Roman" w:cs="Times New Roman"/>
          <w:sz w:val="28"/>
          <w:szCs w:val="28"/>
          <w:lang w:val="ro-RO"/>
        </w:rPr>
        <w:lastRenderedPageBreak/>
        <w:t>cercetare specializate. Organizația oferă suport tehnic, consultanță și expertiză prin intermediul specialiștilor din întreaga lume.</w:t>
      </w:r>
    </w:p>
    <w:p w14:paraId="2C68F0ED" w14:textId="77777777" w:rsidR="00BE1258" w:rsidRPr="00CF19D1" w:rsidRDefault="00BE1258" w:rsidP="00BE1258">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Prin afilierea la ISSA, Casa Națională de Pensii Publice se conectează  la o platformă internațională de colaborare și schimb de bune practici în domeniul sistemelor publice de pensii, beneficiind de acces la servicii oferite prin Centrul de Excelență al organizației, care includ:</w:t>
      </w:r>
    </w:p>
    <w:p w14:paraId="50EF7B0E"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participarea la comisiile tehnice ale ISSA, care reunesc reprezentanți ai organizațiilor membre din întreaga lume și facilitează schimbul de informații și experiență privind politicile din domeniul pensiilor publice și managementul instituțional; </w:t>
      </w:r>
    </w:p>
    <w:p w14:paraId="0E50A274"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participarea la seminare organizate de structurile regionale ale ISSA, ce favorizează cooperarea și schimbul de informații la nivel european și regional; </w:t>
      </w:r>
    </w:p>
    <w:p w14:paraId="4674F1DD"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participarea la evenimente internaționale de specialitate în domeniul securității sociale, inclusiv la World Social Security Forum, organizat o dată la trei ani; </w:t>
      </w:r>
    </w:p>
    <w:p w14:paraId="0F6F8E32"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interacțiunea și schimbul de experiență cu factori de decizie din instituții de securitate socială și cu experți din organisme regionale și internaționale; </w:t>
      </w:r>
    </w:p>
    <w:p w14:paraId="45AEBEA6"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acces permanent la publicații, studii, cercetări, ghiduri practice și rapoarte analitice din domeniul pensiilor publice; </w:t>
      </w:r>
    </w:p>
    <w:p w14:paraId="5BD4BFC5" w14:textId="77777777" w:rsidR="00BE1258" w:rsidRPr="00CF19D1" w:rsidRDefault="00BE1258" w:rsidP="00BE1258">
      <w:pPr>
        <w:pStyle w:val="ListParagraph"/>
        <w:numPr>
          <w:ilvl w:val="0"/>
          <w:numId w:val="32"/>
        </w:numPr>
        <w:suppressAutoHyphens/>
        <w:spacing w:line="252" w:lineRule="auto"/>
        <w:jc w:val="both"/>
        <w:rPr>
          <w:rFonts w:ascii="Times New Roman" w:hAnsi="Times New Roman"/>
          <w:sz w:val="28"/>
          <w:szCs w:val="28"/>
          <w:lang w:val="ro-RO"/>
        </w:rPr>
      </w:pPr>
      <w:r w:rsidRPr="00CF19D1">
        <w:rPr>
          <w:rFonts w:ascii="Times New Roman" w:hAnsi="Times New Roman"/>
          <w:sz w:val="28"/>
          <w:szCs w:val="28"/>
          <w:lang w:val="ro-RO"/>
        </w:rPr>
        <w:t xml:space="preserve">acces la informații specializate și baze de date online privind sistemele de pensii, reformele și exemplele de bune practici din statele membre ale ISSA. </w:t>
      </w:r>
    </w:p>
    <w:p w14:paraId="3256E41D" w14:textId="1BE03ED5" w:rsidR="000A60FA" w:rsidRPr="00CF19D1" w:rsidRDefault="00BE1258" w:rsidP="00BE1258">
      <w:pPr>
        <w:jc w:val="both"/>
        <w:rPr>
          <w:rFonts w:ascii="Times New Roman" w:hAnsi="Times New Roman" w:cs="Times New Roman"/>
          <w:sz w:val="28"/>
          <w:szCs w:val="28"/>
          <w:lang w:val="ro-RO"/>
        </w:rPr>
      </w:pPr>
      <w:r w:rsidRPr="00CF19D1">
        <w:rPr>
          <w:rFonts w:ascii="Times New Roman" w:hAnsi="Times New Roman" w:cs="Times New Roman"/>
          <w:b/>
          <w:sz w:val="28"/>
          <w:szCs w:val="28"/>
          <w:lang w:val="ro-RO"/>
        </w:rPr>
        <w:t xml:space="preserve">Informații suplimentare: </w:t>
      </w:r>
      <w:r w:rsidRPr="00CF19D1">
        <w:rPr>
          <w:rFonts w:ascii="Times New Roman" w:hAnsi="Times New Roman" w:cs="Times New Roman"/>
          <w:sz w:val="28"/>
          <w:szCs w:val="28"/>
          <w:lang w:val="ro-RO"/>
        </w:rPr>
        <w:t>Casa Națională de Pensii Publice propune anual Guvernului cuantumul contribuției la Asociația Internațională a Securității Sociale (ISSA), pe baza notificării primite de la Consiliul organizației. Contribuția se aprobă prin hotărâre a Guvernului.</w:t>
      </w:r>
      <w:r w:rsidRPr="00CF19D1">
        <w:rPr>
          <w:rFonts w:ascii="Times New Roman" w:hAnsi="Times New Roman" w:cs="Times New Roman"/>
          <w:b/>
          <w:sz w:val="28"/>
          <w:szCs w:val="28"/>
          <w:lang w:val="ro-RO"/>
        </w:rPr>
        <w:t xml:space="preserve"> </w:t>
      </w:r>
      <w:r w:rsidRPr="00CF19D1">
        <w:rPr>
          <w:rFonts w:ascii="Times New Roman" w:hAnsi="Times New Roman" w:cs="Times New Roman"/>
          <w:sz w:val="28"/>
          <w:szCs w:val="28"/>
          <w:lang w:val="ro-RO"/>
        </w:rPr>
        <w:t>Casa Națională de Pensii Publice este afiliată</w:t>
      </w:r>
      <w:r w:rsidR="000A60FA" w:rsidRPr="00CF19D1">
        <w:rPr>
          <w:rFonts w:ascii="Times New Roman" w:hAnsi="Times New Roman" w:cs="Times New Roman"/>
          <w:sz w:val="28"/>
          <w:szCs w:val="28"/>
          <w:lang w:val="ro-RO"/>
        </w:rPr>
        <w:t xml:space="preserve"> la ISSA începând din anul 2016. </w:t>
      </w:r>
    </w:p>
    <w:p w14:paraId="04D7406F" w14:textId="77777777" w:rsidR="00CF19D1" w:rsidRPr="00CF19D1" w:rsidRDefault="00CF19D1" w:rsidP="00BE1258">
      <w:pPr>
        <w:jc w:val="both"/>
        <w:rPr>
          <w:rFonts w:ascii="Times New Roman" w:hAnsi="Times New Roman" w:cs="Times New Roman"/>
          <w:sz w:val="28"/>
          <w:szCs w:val="28"/>
          <w:lang w:val="ro-RO"/>
        </w:rPr>
      </w:pPr>
    </w:p>
    <w:p w14:paraId="7C820D3B" w14:textId="7C8E9D3F"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pentru modificarea și completarea Normelor metodologice de aplicare a Legii nr. 200/2006 privind constituirea şi utilizarea Fondului de garantare pentru plata creanţelor salariale, aprobate prin Hotărârea Guvernului nr. 1850/2006</w:t>
      </w:r>
    </w:p>
    <w:p w14:paraId="759FEAB1"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Guvernul a aprobat modificarea și completarea Normelor metodologice de aplicare a </w:t>
      </w:r>
      <w:r w:rsidRPr="00CF19D1">
        <w:rPr>
          <w:rFonts w:ascii="Times New Roman" w:hAnsi="Times New Roman" w:cs="Times New Roman"/>
          <w:i/>
          <w:iCs/>
          <w:sz w:val="28"/>
          <w:szCs w:val="28"/>
          <w:lang w:val="ro-RO"/>
        </w:rPr>
        <w:t>Legii nr. 200/2006 privind constituirea şi utilizarea Fondului de garantare pentru plata creanţelor salariale</w:t>
      </w:r>
      <w:r w:rsidRPr="00CF19D1">
        <w:rPr>
          <w:rFonts w:ascii="Times New Roman" w:hAnsi="Times New Roman" w:cs="Times New Roman"/>
          <w:sz w:val="28"/>
          <w:szCs w:val="28"/>
          <w:lang w:val="ro-RO"/>
        </w:rPr>
        <w:t>, pentru armonizarea cu modificările aduse de OUG nr. 6/2026, în vederea aplicării unitare a mecanismului de garantare a creanțelor salariale și a consolidării protecției angajaților în situațiile în care angajatorii lor au dificultăți financiare.</w:t>
      </w:r>
    </w:p>
    <w:p w14:paraId="12FB6EBB"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Concret, sunt clarificate perioadele pentru care pot fi acordate creanțe salariale, diferențiate în funcție de tipul angajatorului și de procedura aplicabilă (insolvență sau concordat preventiv), precum și modul de calcul al perioadelor acoperite din fond, inclusiv excepțiile în cazul plății integrale a salariilor de către angajator.</w:t>
      </w:r>
    </w:p>
    <w:p w14:paraId="52D3BB19"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Actul normativ clarifică și contribuțiile sociale obligatorii datorate de salariații angajatorilor în stare de insolvență sau de concordat preventiv care sunt suportate din Fondul de garantare, respectiv contribuția de asigurări sociale și cea pentru asigurări sociale de sănătate. </w:t>
      </w:r>
    </w:p>
    <w:p w14:paraId="1FBD8CA5"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Hotărârea de Guvern actualizează inclusiv procedurile administrative pentru plata creanțelor salariale, precum și documentele necesare. </w:t>
      </w:r>
    </w:p>
    <w:p w14:paraId="45C95242" w14:textId="50CF87A3" w:rsidR="006A3554" w:rsidRPr="00CF19D1" w:rsidRDefault="006A3554" w:rsidP="006A3554">
      <w:pPr>
        <w:spacing w:after="120"/>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Legea nr. 200/2006 reglementează constituirea și utilizarea Fondului de garantare pentru plata creanțelor salariale, un mecanism de protecție socială destinat salariaților ale căror drepturi salariale nu mai pot fi achitate de angajatori, ca urmare a deschiderii procedurii de insolvență sau de concordat preventiv și introduce categoria agenților economici de interes strategic stabil</w:t>
      </w:r>
      <w:r w:rsidR="00FC01B2" w:rsidRPr="00CF19D1">
        <w:rPr>
          <w:rFonts w:ascii="Times New Roman" w:hAnsi="Times New Roman" w:cs="Times New Roman"/>
          <w:sz w:val="28"/>
          <w:szCs w:val="28"/>
          <w:lang w:val="ro-RO"/>
        </w:rPr>
        <w:t>iți prin hotărâre a Guvernului.</w:t>
      </w:r>
      <w:r w:rsidRPr="00CF19D1">
        <w:rPr>
          <w:rFonts w:ascii="Times New Roman" w:hAnsi="Times New Roman" w:cs="Times New Roman"/>
          <w:sz w:val="28"/>
          <w:szCs w:val="28"/>
          <w:lang w:val="ro-RO"/>
        </w:rPr>
        <w:t xml:space="preserve"> Cadrul legislativ a fost modificat și completat recent prin Ordonanța de Urgență a Guvernului nr. 6/2026.</w:t>
      </w:r>
    </w:p>
    <w:p w14:paraId="44936396" w14:textId="77777777" w:rsidR="00CF19D1" w:rsidRPr="00CF19D1" w:rsidRDefault="00CF19D1" w:rsidP="006A3554">
      <w:pPr>
        <w:spacing w:after="120"/>
        <w:jc w:val="both"/>
        <w:rPr>
          <w:rFonts w:ascii="Times New Roman" w:hAnsi="Times New Roman" w:cs="Times New Roman"/>
          <w:sz w:val="28"/>
          <w:szCs w:val="28"/>
          <w:lang w:val="ro-RO"/>
        </w:rPr>
      </w:pPr>
    </w:p>
    <w:p w14:paraId="2C8E9DFE" w14:textId="1DE9B28C" w:rsidR="006A3554" w:rsidRPr="00CF19D1" w:rsidRDefault="00DE7DD0" w:rsidP="006A3554">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privind aprobarea caracteristicilor principale şi a indicatorilor tehnico-economici aferenţi obiectivului de investiţii ,,Extinderea reţelei naţionale de observaţii din cadrul Sistemului Meteorologic Integrat Naţional (S.I.M.I.N.)"</w:t>
      </w:r>
    </w:p>
    <w:p w14:paraId="66FE65EA"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Guvernul a aprobat caracteristicile principale și indicatorii tehnico-economici ai obiectivului de investiții „Extinderea rețelei naționale de observații din cadrul Sistemului Meteorologic Integrat Național (S.I.M.I.N.)”.</w:t>
      </w:r>
    </w:p>
    <w:p w14:paraId="4898C309"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 xml:space="preserve">Investiția, în valoare de aproximativ 324,6 milioane lei, va fi realizată în 10 luni. </w:t>
      </w:r>
    </w:p>
    <w:p w14:paraId="277F01DE"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Aceasta prevede instalarea a 300 de stații meteorologice automate și autonome și a 100 de stații agrometeorologice automate și autonome, precum și realizarea unui subsistem integrat de comunicații, monitorizare, alimentare și servicii de interconectare, conectat la S.I.M.I.N.</w:t>
      </w:r>
    </w:p>
    <w:p w14:paraId="4E777412"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Proiectul va fi implementat de Administrația Națională de Meteorologie împreună cu Serviciul de Telecomunicații Speciale, pentru creșterea eficienței prognozelor și avertizărilor meteorologice, în special în ceea ce privește riscul producerii inundațiilor.</w:t>
      </w:r>
    </w:p>
    <w:p w14:paraId="57ACA8E2"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Finanțarea se asigură din fonduri externe nerambursabile prin Programul de Dezvoltare Durabilă 2021–2027, Prioritatea 3 – adaptarea la schimbările climatice și managementul riscurilor, precum și din fonduri de la bugetul de stat, prin Ministerul Mediului, Apelor și Pădurilor și Serviciul de Telecomunicații Speciale, în limita sumelor aprobate anual.</w:t>
      </w:r>
    </w:p>
    <w:p w14:paraId="15D7D7D8"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Pentru avertizarea fenomenelor meteorologice periculoase, se vor realiza:</w:t>
      </w:r>
    </w:p>
    <w:p w14:paraId="148048F8" w14:textId="77777777" w:rsidR="006A3554" w:rsidRPr="00CF19D1" w:rsidRDefault="006A3554" w:rsidP="006A3554">
      <w:pPr>
        <w:numPr>
          <w:ilvl w:val="0"/>
          <w:numId w:val="37"/>
        </w:num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 xml:space="preserve">stabilirea conținutului mesajelor de avertizare, inclusiv posibilele consecințe ale vântului puternic, ploilor abundente, descărcărilor electrice și grindinei, temperaturilor extreme, poleiului sau ceții, la nivel național și regional; </w:t>
      </w:r>
    </w:p>
    <w:p w14:paraId="187C2139" w14:textId="77777777" w:rsidR="006A3554" w:rsidRPr="00CF19D1" w:rsidRDefault="006A3554" w:rsidP="006A3554">
      <w:pPr>
        <w:numPr>
          <w:ilvl w:val="0"/>
          <w:numId w:val="37"/>
        </w:num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 xml:space="preserve">definirea fluxului informativ operativ pentru transmiterea mesajelor meteorologice la nivel național și regional. </w:t>
      </w:r>
    </w:p>
    <w:p w14:paraId="6D1333FD" w14:textId="77777777" w:rsidR="006A3554" w:rsidRPr="00CF19D1" w:rsidRDefault="006A3554" w:rsidP="006A3554">
      <w:pPr>
        <w:jc w:val="both"/>
        <w:rPr>
          <w:rFonts w:ascii="Times New Roman" w:eastAsia="Calibri" w:hAnsi="Times New Roman"/>
          <w:color w:val="000000"/>
          <w:sz w:val="28"/>
          <w:szCs w:val="28"/>
          <w:u w:color="000000"/>
          <w:lang w:val="ro-RO"/>
        </w:rPr>
      </w:pPr>
      <w:r w:rsidRPr="00CF19D1">
        <w:rPr>
          <w:rFonts w:ascii="Times New Roman" w:eastAsia="Calibri" w:hAnsi="Times New Roman"/>
          <w:color w:val="000000"/>
          <w:sz w:val="28"/>
          <w:szCs w:val="28"/>
          <w:u w:color="000000"/>
          <w:lang w:val="ro-RO"/>
        </w:rPr>
        <w:t>Implementarea investiției și consolidarea cadrului legislativ privind pragurile de avertizare și fluxul de transmitere a informațiilor vor crește capacitatea de avertizare a populației și autorităților, reducând riscul produs de fenomenele meteorologice severe și inundații. Echipamentele noi vor permite emiterea unor prognoze mai precise și mai eficiente, contribuind astfel la protejarea comunităților și la realizarea obiectivelor Strategiei de Creștere Durabilă.</w:t>
      </w:r>
    </w:p>
    <w:p w14:paraId="352C1CB5" w14:textId="7D3374E1" w:rsidR="00DE7DD0" w:rsidRPr="00CF19D1" w:rsidRDefault="00DE7DD0" w:rsidP="00724ACC">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pentru modificarea si completarea titlului VIII „Accize și alte taxe speciale” din Normele metodologice de aplicare a Legii nr. 227/2015 privind </w:t>
      </w:r>
      <w:r w:rsidR="006A3554" w:rsidRPr="00CF19D1">
        <w:rPr>
          <w:rFonts w:ascii="Times New Roman" w:hAnsi="Times New Roman" w:cs="Times New Roman"/>
          <w:sz w:val="28"/>
          <w:szCs w:val="28"/>
          <w:lang w:val="ro-RO"/>
        </w:rPr>
        <w:t>Codul fiscal, aprobate prin Hotă</w:t>
      </w:r>
      <w:r w:rsidRPr="00CF19D1">
        <w:rPr>
          <w:rFonts w:ascii="Times New Roman" w:hAnsi="Times New Roman" w:cs="Times New Roman"/>
          <w:sz w:val="28"/>
          <w:szCs w:val="28"/>
          <w:lang w:val="ro-RO"/>
        </w:rPr>
        <w:t>rârea Guvernului nr. 1/2016</w:t>
      </w:r>
    </w:p>
    <w:p w14:paraId="6964F94C" w14:textId="77777777" w:rsidR="006A3554" w:rsidRPr="00CF19D1" w:rsidRDefault="006A3554" w:rsidP="00724ACC">
      <w:pPr>
        <w:pStyle w:val="NormalWeb"/>
        <w:spacing w:before="0" w:beforeAutospacing="0"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Prin Hotărârea aprobată de Guvern se corelează normele de aplicare cu  legislația primară și se simplifică modalitatea de implementare. </w:t>
      </w:r>
    </w:p>
    <w:p w14:paraId="61BCCA0D" w14:textId="77777777" w:rsidR="006A3554" w:rsidRPr="00CF19D1" w:rsidRDefault="006A3554" w:rsidP="00724ACC">
      <w:pPr>
        <w:pStyle w:val="NormalWeb"/>
        <w:spacing w:before="0" w:beforeAutospacing="0"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Cele mai importante modificări au în vedere următoarele aspecte: </w:t>
      </w:r>
    </w:p>
    <w:p w14:paraId="22A02EB7" w14:textId="77777777" w:rsidR="006A3554" w:rsidRPr="00CF19D1" w:rsidRDefault="006A3554" w:rsidP="00724ACC">
      <w:pPr>
        <w:pStyle w:val="NormalWeb"/>
        <w:numPr>
          <w:ilvl w:val="0"/>
          <w:numId w:val="38"/>
        </w:numPr>
        <w:spacing w:before="0" w:beforeAutospacing="0"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Actualizarea reglementărilor privind autorizarea antrepozitelor fiscale, a destinatarilor înregistrați, a expeditorilor înregistrați și a importatorilor autorizați, precum și înregistrarea operatorilor economici care doresc să distribuie şi să comercializeze angro băuturi alcoolice, tutun prelucrat și produse energetice - benzine, motorine, petrol lampant, gaz petrolier lichefiat, păcură și biocombustibili;</w:t>
      </w:r>
    </w:p>
    <w:p w14:paraId="762CDBB9" w14:textId="77777777" w:rsidR="006A3554" w:rsidRPr="00CF19D1" w:rsidRDefault="006A3554" w:rsidP="00724ACC">
      <w:pPr>
        <w:pStyle w:val="NormalWeb"/>
        <w:numPr>
          <w:ilvl w:val="0"/>
          <w:numId w:val="38"/>
        </w:numPr>
        <w:spacing w:before="0" w:beforeAutospacing="0"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Stabilirea condițiilor obținerii calității de exportator înregistrat a operatorilor economici care exportă produse energetice prevăzute la art. 435 alin. (3) din Codul fiscal; </w:t>
      </w:r>
    </w:p>
    <w:p w14:paraId="31F63FB8" w14:textId="77777777" w:rsidR="006A3554" w:rsidRPr="00CF19D1" w:rsidRDefault="006A3554" w:rsidP="00724ACC">
      <w:pPr>
        <w:pStyle w:val="NormalWeb"/>
        <w:numPr>
          <w:ilvl w:val="0"/>
          <w:numId w:val="38"/>
        </w:numPr>
        <w:spacing w:before="0" w:beforeAutospacing="0"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Includerea unor clarificări similare celor prevăzute în prezent și pentru energia electrică, astfel încât consumul de gaz natural utilizat pentru menţinerea capacităţii de a produce, de a transporta şi de a distribui gaz natural, care depăşeşte limitele aprobate de Autoritatea Naţională de Reglementare în Domeniul Energiei pentru </w:t>
      </w:r>
      <w:r w:rsidRPr="00CF19D1">
        <w:rPr>
          <w:color w:val="000000" w:themeColor="text1"/>
          <w:sz w:val="28"/>
          <w:szCs w:val="28"/>
          <w:shd w:val="clear" w:color="auto" w:fill="FFFFFF"/>
          <w:lang w:val="ro-RO"/>
        </w:rPr>
        <w:lastRenderedPageBreak/>
        <w:t>fiecare operator economic sau, în lipsa acestora, normele proprii de consum tehnologic stabilite de operatorul economic, să fie considerat consum propriu.</w:t>
      </w:r>
    </w:p>
    <w:p w14:paraId="4EF744E4" w14:textId="77777777" w:rsidR="006A3554" w:rsidRPr="00CF19D1" w:rsidRDefault="006A3554" w:rsidP="006A3554">
      <w:pPr>
        <w:pStyle w:val="NormalWeb"/>
        <w:numPr>
          <w:ilvl w:val="0"/>
          <w:numId w:val="38"/>
        </w:numPr>
        <w:spacing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Având în vedere riscul pe care îl presupun operațiunile desfășurate în incinta unui antrepozit fiscal, în special cele cu produse accizabile inflamabile, se propune introducerea obligației în sarcina antrepozitarului autorizat de a deține dovada autorizării privind securitatea la incendiu pentru fiecare locație autorizată, în scopul prevenirii și eliminării riscurilor asociate acestor operațiuni. </w:t>
      </w:r>
    </w:p>
    <w:p w14:paraId="7F1AD0DE" w14:textId="77777777" w:rsidR="006A3554" w:rsidRPr="00CF19D1" w:rsidRDefault="006A3554" w:rsidP="006A3554">
      <w:pPr>
        <w:pStyle w:val="NormalWeb"/>
        <w:numPr>
          <w:ilvl w:val="0"/>
          <w:numId w:val="38"/>
        </w:numPr>
        <w:spacing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În vederea asigurării unor condiții de securitate a locului în care realizează recepția produselor accizabile deplasate în regim suspensiv, se completează condițiile de autorizare ca destinatar înregistrat prin introducerea obligației ca locul în care realizează recepția produselor accizabile deplasate în regim suspensiv să fie strict delimitat, prin împrejmuire. </w:t>
      </w:r>
    </w:p>
    <w:p w14:paraId="42CBC005" w14:textId="77777777" w:rsidR="006A3554" w:rsidRPr="00CF19D1" w:rsidRDefault="006A3554" w:rsidP="006A3554">
      <w:pPr>
        <w:pStyle w:val="NormalWeb"/>
        <w:numPr>
          <w:ilvl w:val="0"/>
          <w:numId w:val="38"/>
        </w:numPr>
        <w:spacing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Se introduc unele obligații în sarcina destinatarului înregistrat, respectiv, dotarea cu un sistem de supraveghere video a locului de recepție a produselor în regim suspensiv de accize; deținerea autorizației de mediu pentru fiecare locație; deținerea dovezii autorizării privind securitatea la incendiu pentru fiecare locație, similar cu obligația introdusă și pentru antrepozitarul autorizat. </w:t>
      </w:r>
    </w:p>
    <w:p w14:paraId="16BB3C60" w14:textId="2D447091" w:rsidR="00CF19D1" w:rsidRPr="00CF19D1" w:rsidRDefault="006A3554" w:rsidP="00CF19D1">
      <w:pPr>
        <w:pStyle w:val="NormalWeb"/>
        <w:numPr>
          <w:ilvl w:val="0"/>
          <w:numId w:val="38"/>
        </w:numPr>
        <w:spacing w:after="0" w:afterAutospacing="0"/>
        <w:jc w:val="both"/>
        <w:rPr>
          <w:color w:val="000000" w:themeColor="text1"/>
          <w:sz w:val="28"/>
          <w:szCs w:val="28"/>
          <w:shd w:val="clear" w:color="auto" w:fill="FFFFFF"/>
          <w:lang w:val="ro-RO"/>
        </w:rPr>
      </w:pPr>
      <w:r w:rsidRPr="00CF19D1">
        <w:rPr>
          <w:color w:val="000000" w:themeColor="text1"/>
          <w:sz w:val="28"/>
          <w:szCs w:val="28"/>
          <w:shd w:val="clear" w:color="auto" w:fill="FFFFFF"/>
          <w:lang w:val="ro-RO"/>
        </w:rPr>
        <w:t xml:space="preserve">Se clarifică faptul că operațiunile de revânzare a combustibililor alimentați din stațiile de distribuție en détail pe bază de carduri de combustibil, furnizarea de combustibili de aviație realizată de intermediarii care administrează contracte cu operatorii aerieni, furnizarea de produse energetice către forțele armate prevăzute la art. 395 alin. (1) lit. c) și lit. c^1) din Codul fiscal de către contractanții și subcontractanții acestora nu sunt activități de comercializare angro. În plus, operatorii economici care realizează aceste activități au obligația de a notifica Comisia prevăzută la art. 359 alin. (1) din Codul fiscal cu privire la activitățile desfășurate și după caz, locațiile din care se desfășoară activitatea, nerespectarea acestei obligații reprezentând contravenție. Măsura are în vedere faptul că este necesar a se asigura desfășurarea fără impedimente a activităților legate de misiunile de apărare, în contextul livrărilor de produse energetice destinate nevoilor NATO/Armatei Statelor Unite ale Americii dislocate pe teritoriul României, în baza acordurilor bilaterale, precum și ale forţelor armate ale oricărui alt stat membru decât România care participă la o acţiune de apărare </w:t>
      </w:r>
      <w:r w:rsidR="00CF19D1" w:rsidRPr="00CF19D1">
        <w:rPr>
          <w:color w:val="000000" w:themeColor="text1"/>
          <w:sz w:val="28"/>
          <w:szCs w:val="28"/>
          <w:shd w:val="clear" w:color="auto" w:fill="FFFFFF"/>
          <w:lang w:val="ro-RO"/>
        </w:rPr>
        <w:t>desfășurată</w:t>
      </w:r>
      <w:r w:rsidRPr="00CF19D1">
        <w:rPr>
          <w:color w:val="000000" w:themeColor="text1"/>
          <w:sz w:val="28"/>
          <w:szCs w:val="28"/>
          <w:shd w:val="clear" w:color="auto" w:fill="FFFFFF"/>
          <w:lang w:val="ro-RO"/>
        </w:rPr>
        <w:t xml:space="preserve"> pentru a implementa o activitate a Uniunii Europene în cadrul Politicii de Securitate şi Apărare Comune. Scopul acestui cadru juridic este simplificarea procedurilor administrative, în vederea îndeplinirii misiunilor de apărare. </w:t>
      </w:r>
    </w:p>
    <w:p w14:paraId="359F2558" w14:textId="77777777" w:rsidR="00CF19D1" w:rsidRPr="00CF19D1" w:rsidRDefault="00CF19D1" w:rsidP="00CF19D1">
      <w:pPr>
        <w:rPr>
          <w:shd w:val="clear" w:color="auto" w:fill="FFFFFF"/>
          <w:lang w:val="ro-RO"/>
        </w:rPr>
      </w:pPr>
    </w:p>
    <w:p w14:paraId="1A679F40" w14:textId="246E10D4" w:rsidR="00BE1258" w:rsidRPr="00CF19D1" w:rsidRDefault="00BE1258"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modificarea codului de clasificație, denumirii, elementelor-cadru de descriere tehnică, adresei şi actualizarea valorii de inventar a unor bunuri imobile aflate în domeniul public al statului şi în administrarea Autorității Vamale Române, comasarea numărului MF 121112 la poziţia cu numărul MF 28436, ca urmare a înscrierii în aceeași carte funciară, precum şi modificarea anexei nr. 9 la Hotărârea Guvernului nr. 1705/2006 privind aprobarea inventarului centralizat al bunurilor din domeniul public al statului</w:t>
      </w:r>
    </w:p>
    <w:p w14:paraId="2D8861F8" w14:textId="0824798B" w:rsidR="006A3554" w:rsidRPr="00CF19D1" w:rsidRDefault="006A3554" w:rsidP="006A3554">
      <w:pPr>
        <w:autoSpaceDE w:val="0"/>
        <w:autoSpaceDN w:val="0"/>
        <w:adjustRightInd w:val="0"/>
        <w:jc w:val="both"/>
        <w:rPr>
          <w:rFonts w:ascii="Times New Roman" w:hAnsi="Times New Roman" w:cs="Times New Roman"/>
          <w:color w:val="000000"/>
          <w:sz w:val="28"/>
          <w:szCs w:val="28"/>
          <w:lang w:val="ro-RO"/>
        </w:rPr>
      </w:pPr>
      <w:r w:rsidRPr="00CF19D1">
        <w:rPr>
          <w:rFonts w:ascii="Times New Roman" w:hAnsi="Times New Roman" w:cs="Times New Roman"/>
          <w:color w:val="000000"/>
          <w:sz w:val="28"/>
          <w:szCs w:val="28"/>
          <w:lang w:val="ro-RO"/>
        </w:rPr>
        <w:t xml:space="preserve">Hotărârea de Guvern a fost aprobată. </w:t>
      </w:r>
    </w:p>
    <w:p w14:paraId="614A94E7" w14:textId="0B9B548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actualizarea valorii de inventar a unui imobil aflat în domeniul public al statului şi administrarea Penitenciarului-Spital Bucureşti Jilava, unitate penitenciară din subordinea Administraţiei Naţionale a Penitenciarelor, precum şi închirierea unei părţi din imobil</w:t>
      </w:r>
    </w:p>
    <w:p w14:paraId="21ED30FF" w14:textId="77777777" w:rsidR="006A3554" w:rsidRPr="00CF19D1" w:rsidRDefault="006A3554" w:rsidP="006A3554">
      <w:pPr>
        <w:autoSpaceDE w:val="0"/>
        <w:autoSpaceDN w:val="0"/>
        <w:adjustRightInd w:val="0"/>
        <w:jc w:val="both"/>
        <w:rPr>
          <w:rFonts w:ascii="Times New Roman" w:hAnsi="Times New Roman" w:cs="Times New Roman"/>
          <w:color w:val="000000"/>
          <w:sz w:val="28"/>
          <w:szCs w:val="28"/>
          <w:lang w:val="ro-RO"/>
        </w:rPr>
      </w:pPr>
      <w:r w:rsidRPr="00CF19D1">
        <w:rPr>
          <w:rFonts w:ascii="Times New Roman" w:hAnsi="Times New Roman" w:cs="Times New Roman"/>
          <w:color w:val="000000"/>
          <w:sz w:val="28"/>
          <w:szCs w:val="28"/>
          <w:lang w:val="ro-RO"/>
        </w:rPr>
        <w:t xml:space="preserve">Hotărârea de Guvern a fost aprobată. </w:t>
      </w:r>
    </w:p>
    <w:p w14:paraId="316AA6F8" w14:textId="24D29FF6"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lastRenderedPageBreak/>
        <w:t>HOTĂRÂRE DE GUVERN</w:t>
      </w:r>
      <w:r w:rsidRPr="00CF19D1">
        <w:rPr>
          <w:rFonts w:ascii="TimesNewRoman" w:hAnsi="TimesNewRoman" w:cs="TimesNewRoman"/>
          <w:color w:val="000000"/>
          <w:sz w:val="28"/>
          <w:szCs w:val="28"/>
          <w:lang w:val="ro-RO"/>
        </w:rPr>
        <w:t xml:space="preserve"> privind actualizarea valorilor de inventar şi, după caz, modificarea descrierii tehnice ale unor bunuri imobile aflate în domeniul public al statului şi în administrarea oficiilor de cadastru şi publicitate imobiliară Dolj, Satu Mare şi Vaslui</w:t>
      </w:r>
    </w:p>
    <w:p w14:paraId="0DA31C06" w14:textId="77777777" w:rsidR="006A3554" w:rsidRPr="00CF19D1" w:rsidRDefault="006A3554" w:rsidP="006A3554">
      <w:pPr>
        <w:autoSpaceDE w:val="0"/>
        <w:autoSpaceDN w:val="0"/>
        <w:adjustRightInd w:val="0"/>
        <w:jc w:val="both"/>
        <w:rPr>
          <w:rFonts w:ascii="Times New Roman" w:hAnsi="Times New Roman" w:cs="Times New Roman"/>
          <w:color w:val="000000"/>
          <w:sz w:val="28"/>
          <w:szCs w:val="28"/>
          <w:lang w:val="ro-RO"/>
        </w:rPr>
      </w:pPr>
      <w:r w:rsidRPr="00CF19D1">
        <w:rPr>
          <w:rFonts w:ascii="Times New Roman" w:hAnsi="Times New Roman" w:cs="Times New Roman"/>
          <w:color w:val="000000"/>
          <w:sz w:val="28"/>
          <w:szCs w:val="28"/>
          <w:lang w:val="ro-RO"/>
        </w:rPr>
        <w:t xml:space="preserve">Hotărârea de Guvern a fost aprobată. </w:t>
      </w:r>
    </w:p>
    <w:p w14:paraId="76B81EE8" w14:textId="79EF4D26" w:rsidR="00DE7DD0" w:rsidRPr="00CF19D1" w:rsidRDefault="00BE1258"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înscrierea unui imobil în inventarul centralizat al bunurilor din domeniul public al statului şi darea acestuia în administrarea Ministerului Afacerilor Interne - U.M. 0716 Baia Mare (Inspectoratul de Jandarmi Judeţean ,,Pintea Viteazul" Maramureș)</w:t>
      </w:r>
    </w:p>
    <w:p w14:paraId="27C64625" w14:textId="77777777" w:rsidR="006A3554" w:rsidRPr="00CF19D1" w:rsidRDefault="006A3554" w:rsidP="006A3554">
      <w:pPr>
        <w:autoSpaceDE w:val="0"/>
        <w:autoSpaceDN w:val="0"/>
        <w:adjustRightInd w:val="0"/>
        <w:jc w:val="both"/>
        <w:rPr>
          <w:rFonts w:ascii="Times New Roman" w:hAnsi="Times New Roman" w:cs="Times New Roman"/>
          <w:color w:val="000000"/>
          <w:sz w:val="28"/>
          <w:szCs w:val="28"/>
          <w:lang w:val="ro-RO"/>
        </w:rPr>
      </w:pPr>
      <w:r w:rsidRPr="00CF19D1">
        <w:rPr>
          <w:rFonts w:ascii="Times New Roman" w:hAnsi="Times New Roman" w:cs="Times New Roman"/>
          <w:color w:val="000000"/>
          <w:sz w:val="28"/>
          <w:szCs w:val="28"/>
          <w:lang w:val="ro-RO"/>
        </w:rPr>
        <w:t xml:space="preserve">Hotărârea de Guvern a fost aprobată. </w:t>
      </w:r>
    </w:p>
    <w:p w14:paraId="7BA1552E" w14:textId="4002887D" w:rsidR="006A3554" w:rsidRPr="00CF19D1" w:rsidRDefault="006A3554" w:rsidP="006A3554">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color w:val="000000"/>
          <w:sz w:val="28"/>
          <w:szCs w:val="28"/>
          <w:lang w:val="ro-RO"/>
        </w:rPr>
        <w:t>HOTĂRÂRE DE GUVERN</w:t>
      </w:r>
      <w:r w:rsidRPr="00CF19D1">
        <w:rPr>
          <w:rFonts w:ascii="Times New Roman" w:hAnsi="Times New Roman" w:cs="Times New Roman"/>
          <w:color w:val="000000"/>
          <w:sz w:val="28"/>
          <w:szCs w:val="28"/>
          <w:lang w:val="ro-RO"/>
        </w:rPr>
        <w:t xml:space="preserve"> privind actualizarea valorii de inventar a unui bun imobil aflat în domeniul public al statului şi în administrarea Operei Naţionale din Bucureşti, instituţie publică din subordinea Ministerului Culturii</w:t>
      </w:r>
    </w:p>
    <w:p w14:paraId="7CED6826" w14:textId="37EF2CE6" w:rsidR="006A3554" w:rsidRPr="00CF19D1" w:rsidRDefault="006A3554" w:rsidP="006A3554">
      <w:pPr>
        <w:autoSpaceDE w:val="0"/>
        <w:autoSpaceDN w:val="0"/>
        <w:adjustRightInd w:val="0"/>
        <w:jc w:val="both"/>
        <w:rPr>
          <w:rFonts w:ascii="Times New Roman" w:hAnsi="Times New Roman" w:cs="Times New Roman"/>
          <w:color w:val="000000"/>
          <w:sz w:val="28"/>
          <w:szCs w:val="28"/>
          <w:lang w:val="ro-RO"/>
        </w:rPr>
      </w:pPr>
      <w:r w:rsidRPr="00CF19D1">
        <w:rPr>
          <w:rFonts w:ascii="Times New Roman" w:hAnsi="Times New Roman" w:cs="Times New Roman"/>
          <w:color w:val="000000"/>
          <w:sz w:val="28"/>
          <w:szCs w:val="28"/>
          <w:lang w:val="ro-RO"/>
        </w:rPr>
        <w:t xml:space="preserve">Hotărârea de Guvern a fost aprobată. </w:t>
      </w:r>
    </w:p>
    <w:p w14:paraId="6D9A4B38" w14:textId="77777777" w:rsidR="00CF19D1" w:rsidRPr="00CF19D1" w:rsidRDefault="00CF19D1" w:rsidP="006A3554">
      <w:pPr>
        <w:autoSpaceDE w:val="0"/>
        <w:autoSpaceDN w:val="0"/>
        <w:adjustRightInd w:val="0"/>
        <w:jc w:val="both"/>
        <w:rPr>
          <w:rFonts w:ascii="Times New Roman" w:hAnsi="Times New Roman" w:cs="Times New Roman"/>
          <w:color w:val="000000"/>
          <w:sz w:val="28"/>
          <w:szCs w:val="28"/>
          <w:lang w:val="ro-RO"/>
        </w:rPr>
      </w:pPr>
    </w:p>
    <w:p w14:paraId="07B106EF" w14:textId="0C2422E3"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recunoaşterea Fundației Centrul Cultural ,,ARTSOCIETY" ca fiind de utilitate publică</w:t>
      </w:r>
    </w:p>
    <w:p w14:paraId="2D63BC0B" w14:textId="77777777" w:rsidR="00DE7DD0" w:rsidRPr="00CF19D1" w:rsidRDefault="00DE7DD0" w:rsidP="00DE7DD0">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Prin acest act normativ, Fundația Centrul Cultural ”ARTSOCIETY va avea caracter de utilitate publică. </w:t>
      </w:r>
    </w:p>
    <w:p w14:paraId="6631B4D5" w14:textId="77777777" w:rsidR="00DE7DD0" w:rsidRPr="00CF19D1" w:rsidRDefault="00DE7DD0" w:rsidP="00DE7DD0">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Fundația desfășoară o activitate culturală susținută, cu caracter neîntrerupt, în interes general și cu impact public semnificativ. </w:t>
      </w:r>
    </w:p>
    <w:p w14:paraId="1BF32A1F" w14:textId="6FBB4A9E" w:rsidR="00DE7DD0" w:rsidRPr="00CF19D1" w:rsidRDefault="00DE7DD0" w:rsidP="00DE7DD0">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Prin proiectele sale, fundația contribuie la dezvoltarea educației culturale și la creșterea accesului public la artă, prin organizarea de tururi ghidate, ateliere de creație, cursuri de istoria artei, conferințe și alte activități educaționale destinate publicului larg. </w:t>
      </w:r>
    </w:p>
    <w:p w14:paraId="7F2A8FBF" w14:textId="77777777" w:rsidR="00CF19D1" w:rsidRPr="00CF19D1" w:rsidRDefault="00CF19D1" w:rsidP="00DE7DD0">
      <w:pPr>
        <w:jc w:val="both"/>
        <w:rPr>
          <w:rFonts w:ascii="Times New Roman" w:hAnsi="Times New Roman" w:cs="Times New Roman"/>
          <w:sz w:val="28"/>
          <w:szCs w:val="28"/>
          <w:lang w:val="ro-RO"/>
        </w:rPr>
      </w:pPr>
    </w:p>
    <w:p w14:paraId="59B999FC" w14:textId="3252B2CB" w:rsidR="00BE1258" w:rsidRPr="00CF19D1" w:rsidRDefault="00BE1258"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închirierea unor părţi din imobilul 1091 aflat în domeniul public al statului şi în administrarea Ministerului Apărării Naţionale</w:t>
      </w:r>
    </w:p>
    <w:p w14:paraId="1AF76EFE" w14:textId="1CFE561B" w:rsidR="000A60FA" w:rsidRPr="00CF19D1" w:rsidRDefault="000A60FA" w:rsidP="000A60FA">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2387FF39"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înscrierea în inventarul centralizat al bunurilor din domeniul public al statului şi darea în administrare Stațiunii de Cercetare - Dezvoltare pentru Legumicultură Baciu din subordinea Academiei de Științe Agricole şi Silvice "Gheorghe Ionescu Şişeşti" a unui imobil – clădire</w:t>
      </w:r>
    </w:p>
    <w:p w14:paraId="3356F304" w14:textId="2121B3AA" w:rsidR="00DE7DD0" w:rsidRPr="00CF19D1" w:rsidRDefault="00DE7DD0" w:rsidP="00DE7DD0">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18F8DD06"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actualizarea descrierii tehnice, adresei şi valorii de inventar ale unor bunuri imobile aflate în domeniul public al statului şi administrarea Agenției Naţionale pentru Zootehnie "Prof. dr. G. K. Constantinescu", din subordinea Ministerului Agriculturii şi Dezvoltării Rurale şi de trecere a acestora în domeniul public al comunei Mihăești, judeţul Argeș</w:t>
      </w:r>
    </w:p>
    <w:p w14:paraId="1E43FFF4" w14:textId="5F6C0E8B" w:rsidR="00DE7DD0" w:rsidRPr="00CF19D1" w:rsidRDefault="00DE7DD0" w:rsidP="00DE7DD0">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4F76C349" w14:textId="77777777" w:rsidR="00CF19D1" w:rsidRPr="00CF19D1" w:rsidRDefault="00CF19D1" w:rsidP="00DE7DD0">
      <w:pPr>
        <w:autoSpaceDE w:val="0"/>
        <w:autoSpaceDN w:val="0"/>
        <w:adjustRightInd w:val="0"/>
        <w:jc w:val="both"/>
        <w:rPr>
          <w:rFonts w:ascii="TimesNewRoman" w:hAnsi="TimesNewRoman" w:cs="TimesNewRoman"/>
          <w:color w:val="000000"/>
          <w:sz w:val="28"/>
          <w:szCs w:val="28"/>
          <w:lang w:val="ro-RO"/>
        </w:rPr>
      </w:pPr>
    </w:p>
    <w:p w14:paraId="6696270B" w14:textId="0B5867EE"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color w:val="000000"/>
          <w:sz w:val="28"/>
          <w:szCs w:val="28"/>
          <w:lang w:val="ro-RO"/>
        </w:rPr>
        <w:t>HOTĂRÂRE DE GUVERN</w:t>
      </w:r>
      <w:r w:rsidRPr="00CF19D1">
        <w:rPr>
          <w:rFonts w:ascii="Times New Roman" w:hAnsi="Times New Roman" w:cs="Times New Roman"/>
          <w:color w:val="000000"/>
          <w:sz w:val="28"/>
          <w:szCs w:val="28"/>
          <w:lang w:val="ro-RO"/>
        </w:rPr>
        <w:t xml:space="preserve"> privind înscrierea unui imobil în inventarul centralizat al bunurilor din domeniul public al statului şi darea acestuia în administrarea Ministerului Afacerilor Interne - U.M. 0716 Baia Mare (Inspectoratul de Jandarmi Judeţean ,,Pintea Viteazul" Maramureș)</w:t>
      </w:r>
    </w:p>
    <w:p w14:paraId="4E227DE7" w14:textId="77777777" w:rsidR="00CF19D1" w:rsidRPr="00CF19D1" w:rsidRDefault="00CF19D1" w:rsidP="00CF19D1">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5997DE71" w14:textId="77777777" w:rsidR="00CF19D1" w:rsidRPr="00CF19D1" w:rsidRDefault="00CF19D1" w:rsidP="00CF19D1">
      <w:pPr>
        <w:autoSpaceDE w:val="0"/>
        <w:autoSpaceDN w:val="0"/>
        <w:adjustRightInd w:val="0"/>
        <w:jc w:val="both"/>
        <w:rPr>
          <w:rFonts w:ascii="Times New Roman" w:hAnsi="Times New Roman" w:cs="Times New Roman"/>
          <w:color w:val="000000"/>
          <w:sz w:val="28"/>
          <w:szCs w:val="28"/>
          <w:lang w:val="ro-RO"/>
        </w:rPr>
      </w:pPr>
    </w:p>
    <w:p w14:paraId="0B116BDE"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rechemarea unui consul general</w:t>
      </w:r>
    </w:p>
    <w:p w14:paraId="3663D301" w14:textId="1B0243C7" w:rsidR="00DE7DD0" w:rsidRPr="00CF19D1" w:rsidRDefault="00DE7DD0" w:rsidP="00DE7DD0">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lastRenderedPageBreak/>
        <w:t xml:space="preserve">Prin această Hotărâre, domnul Mihai Ciompec este rechemat din calitatea de consul general, șef al Consulatului General al României la Hamburg, Republica Federală Germania. Domnul Mihai Ciompec a fost numit în această funcție la data de 4 iulie 2024. </w:t>
      </w:r>
    </w:p>
    <w:p w14:paraId="40EEEA42" w14:textId="77777777" w:rsidR="00CF19D1" w:rsidRPr="00CF19D1" w:rsidRDefault="00CF19D1" w:rsidP="00DE7DD0">
      <w:pPr>
        <w:jc w:val="both"/>
        <w:rPr>
          <w:rFonts w:ascii="Times New Roman" w:hAnsi="Times New Roman" w:cs="Times New Roman"/>
          <w:sz w:val="28"/>
          <w:szCs w:val="28"/>
          <w:lang w:val="ro-RO"/>
        </w:rPr>
      </w:pPr>
    </w:p>
    <w:p w14:paraId="2EA29F69"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numirea unui consul general</w:t>
      </w:r>
    </w:p>
    <w:p w14:paraId="2FCA5503" w14:textId="345D2E0B" w:rsidR="00DE7DD0" w:rsidRPr="00CF19D1" w:rsidRDefault="00CF19D1" w:rsidP="00DE7DD0">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Prin această hotărâre, doamna Florina</w:t>
      </w:r>
      <w:r w:rsidR="00DE7DD0" w:rsidRPr="00CF19D1">
        <w:rPr>
          <w:rFonts w:ascii="Times New Roman" w:hAnsi="Times New Roman" w:cs="Times New Roman"/>
          <w:sz w:val="28"/>
          <w:szCs w:val="28"/>
          <w:lang w:val="ro-RO"/>
        </w:rPr>
        <w:t>–Alexandra Subescu este numită în calitatea de consul general, șef al Consulatului General al României la Bonn, Republica Federală Germania</w:t>
      </w:r>
      <w:r w:rsidRPr="00CF19D1">
        <w:rPr>
          <w:rFonts w:ascii="Times New Roman" w:hAnsi="Times New Roman" w:cs="Times New Roman"/>
          <w:sz w:val="28"/>
          <w:szCs w:val="28"/>
          <w:lang w:val="ro-RO"/>
        </w:rPr>
        <w:t>.</w:t>
      </w:r>
    </w:p>
    <w:p w14:paraId="14374604" w14:textId="77777777" w:rsidR="00CF19D1" w:rsidRPr="00CF19D1" w:rsidRDefault="00CF19D1" w:rsidP="00DE7DD0">
      <w:pPr>
        <w:jc w:val="both"/>
        <w:rPr>
          <w:rFonts w:ascii="Times New Roman" w:hAnsi="Times New Roman" w:cs="Times New Roman"/>
          <w:sz w:val="28"/>
          <w:szCs w:val="28"/>
          <w:lang w:val="ro-RO"/>
        </w:rPr>
      </w:pPr>
    </w:p>
    <w:p w14:paraId="7FFF77F4"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aprobarea Actului adiţional nr. 5/2026 la Licenţa de concesiune nr. 1161/2000 a activităţii miniere de exploatare a argilei caolinoase din perimetrul Ţibrinu, judeţul Constanţa</w:t>
      </w:r>
    </w:p>
    <w:p w14:paraId="06A9B85E" w14:textId="75BC3588" w:rsidR="00DE7DD0" w:rsidRPr="00CF19D1" w:rsidRDefault="00DE7DD0" w:rsidP="00DE7DD0">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505EA4EE" w14:textId="77777777" w:rsidR="00CF19D1" w:rsidRPr="00CF19D1" w:rsidRDefault="00CF19D1" w:rsidP="00DE7DD0">
      <w:pPr>
        <w:autoSpaceDE w:val="0"/>
        <w:autoSpaceDN w:val="0"/>
        <w:adjustRightInd w:val="0"/>
        <w:jc w:val="both"/>
        <w:rPr>
          <w:rFonts w:ascii="TimesNewRoman" w:hAnsi="TimesNewRoman" w:cs="TimesNewRoman"/>
          <w:color w:val="000000"/>
          <w:sz w:val="28"/>
          <w:szCs w:val="28"/>
          <w:lang w:val="ro-RO"/>
        </w:rPr>
      </w:pPr>
    </w:p>
    <w:p w14:paraId="0A169E96" w14:textId="77777777" w:rsidR="00DE7DD0" w:rsidRPr="00CF19D1" w:rsidRDefault="00DE7DD0" w:rsidP="00DE7DD0">
      <w:pPr>
        <w:pStyle w:val="ListParagraph"/>
        <w:numPr>
          <w:ilvl w:val="0"/>
          <w:numId w:val="28"/>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HOTĂRÂRE DE GUVERN</w:t>
      </w:r>
      <w:r w:rsidRPr="00CF19D1">
        <w:rPr>
          <w:rFonts w:ascii="TimesNewRoman" w:hAnsi="TimesNewRoman" w:cs="TimesNewRoman"/>
          <w:color w:val="000000"/>
          <w:sz w:val="28"/>
          <w:szCs w:val="28"/>
          <w:lang w:val="ro-RO"/>
        </w:rPr>
        <w:t xml:space="preserve"> privind actualizarea valorilor de inventar, a denumirii, a adresei şi a descrierii tehnice, ale unor bunuri imobile din domeniul public al statului, aflate în administrarea Autorității Naţionale Sanitare Veterinare şi pentru Siguranța Alimentelor- Direcției Sanitar-Veterinare şi pentru Siguranța Alimentelor Călăraşi</w:t>
      </w:r>
    </w:p>
    <w:p w14:paraId="20CE8476" w14:textId="59EA287C" w:rsidR="00DE7DD0" w:rsidRPr="00CF19D1" w:rsidRDefault="00DE7DD0" w:rsidP="00DE7DD0">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Hotărârea de Guvern a fost aprobată.</w:t>
      </w:r>
    </w:p>
    <w:p w14:paraId="071FF7B7" w14:textId="77777777" w:rsidR="00CF19D1" w:rsidRPr="00CF19D1" w:rsidRDefault="00CF19D1" w:rsidP="00DE7DD0">
      <w:pPr>
        <w:autoSpaceDE w:val="0"/>
        <w:autoSpaceDN w:val="0"/>
        <w:adjustRightInd w:val="0"/>
        <w:jc w:val="both"/>
        <w:rPr>
          <w:rFonts w:ascii="TimesNewRoman" w:hAnsi="TimesNewRoman" w:cs="TimesNewRoman"/>
          <w:color w:val="000000"/>
          <w:sz w:val="28"/>
          <w:szCs w:val="28"/>
          <w:lang w:val="ro-RO"/>
        </w:rPr>
      </w:pPr>
    </w:p>
    <w:p w14:paraId="6575BEC8" w14:textId="3B776FED"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privind modificarea Hotărârii Guvernului nr.1473/2024 pentru declararea de interes naţional a Festivalului Olimpic al Tineretului European - F.O.T.E. - ediţia de iarnă, 2027</w:t>
      </w:r>
    </w:p>
    <w:p w14:paraId="488DA04D"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Actul normativ prevede completarea listei localităților implicate în organizarea Festivalului Olimpic al Tineretului European (F.O.T.E.) – ediția de iarnă 2027, eveniment deja declarat de interes național, în scopul asigurării unui cadru organizatoric și tehnic adecvat desfășurării competițiilor, precum și al alinierii la standardele aplicabile la nivel olimpic.</w:t>
      </w:r>
    </w:p>
    <w:p w14:paraId="7C4B8F76" w14:textId="627D3A9F"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În acest sens, se introduce municipiul Târgu Secuiesc în lista unităților administrativ-teritoriale gazdă, având în vedere existența infrastructurii pentru sporturi pe gheață și necesitatea asigurării unor capacități tehnice adecvate pentru desfășurarea probelor conform cerințelor tehnice stabi</w:t>
      </w:r>
      <w:r w:rsidR="000D1029" w:rsidRPr="00CF19D1">
        <w:rPr>
          <w:rFonts w:ascii="Times New Roman" w:hAnsi="Times New Roman" w:cs="Times New Roman"/>
          <w:sz w:val="28"/>
          <w:szCs w:val="28"/>
          <w:lang w:val="ro-RO"/>
        </w:rPr>
        <w:t>lite în organizarea competiției, precum și localitatea Azuga la localități de rezervă pentru desfășurarea competițiilor.</w:t>
      </w:r>
    </w:p>
    <w:p w14:paraId="79CB9029" w14:textId="77777777"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Festivalul Olimpic al Tineretului European, ediția de iarnă 2027, reprezintă o oportunitate pentru administrațiile locale de a integra și promova principiile dezvoltării durabile în strategiile proprii, asigurând totodată creșterea implicării comunităților locale în organizarea evenimentului.</w:t>
      </w:r>
    </w:p>
    <w:p w14:paraId="11665D1F" w14:textId="0084B865" w:rsidR="006A3554" w:rsidRPr="00CF19D1" w:rsidRDefault="006A3554" w:rsidP="006A3554">
      <w:pPr>
        <w:jc w:val="both"/>
        <w:rPr>
          <w:rFonts w:ascii="Times New Roman" w:hAnsi="Times New Roman" w:cs="Times New Roman"/>
          <w:b/>
          <w:sz w:val="28"/>
          <w:szCs w:val="28"/>
          <w:lang w:val="ro-RO"/>
        </w:rPr>
      </w:pPr>
      <w:r w:rsidRPr="00CF19D1">
        <w:rPr>
          <w:rFonts w:ascii="Times New Roman" w:hAnsi="Times New Roman" w:cs="Times New Roman"/>
          <w:b/>
          <w:sz w:val="28"/>
          <w:szCs w:val="28"/>
          <w:lang w:val="ro-RO"/>
        </w:rPr>
        <w:t xml:space="preserve">Informații suplimentare: </w:t>
      </w:r>
      <w:r w:rsidRPr="00CF19D1">
        <w:rPr>
          <w:rFonts w:ascii="Times New Roman" w:hAnsi="Times New Roman" w:cs="Times New Roman"/>
          <w:sz w:val="28"/>
          <w:szCs w:val="28"/>
          <w:lang w:val="ro-RO"/>
        </w:rPr>
        <w:t>F.O.T.E. este un eveniment multisport desfășurat sub patronajul Comitetului International Olimpic, destinat sportivilor cu vârste între 14 si 18 ani.</w:t>
      </w:r>
      <w:r w:rsidRPr="00CF19D1">
        <w:rPr>
          <w:rFonts w:ascii="Times New Roman" w:hAnsi="Times New Roman" w:cs="Times New Roman"/>
          <w:b/>
          <w:sz w:val="28"/>
          <w:szCs w:val="28"/>
          <w:lang w:val="ro-RO"/>
        </w:rPr>
        <w:t xml:space="preserve"> </w:t>
      </w:r>
      <w:r w:rsidRPr="00CF19D1">
        <w:rPr>
          <w:rFonts w:ascii="Times New Roman" w:hAnsi="Times New Roman" w:cs="Times New Roman"/>
          <w:sz w:val="28"/>
          <w:szCs w:val="28"/>
          <w:lang w:val="ro-RO"/>
        </w:rPr>
        <w:t>România a obținut organizarea ediției de iarnă 2027</w:t>
      </w:r>
      <w:r w:rsidRPr="00CF19D1">
        <w:rPr>
          <w:sz w:val="28"/>
          <w:szCs w:val="28"/>
          <w:lang w:val="ro-RO"/>
        </w:rPr>
        <w:t xml:space="preserve"> </w:t>
      </w:r>
      <w:r w:rsidRPr="00CF19D1">
        <w:rPr>
          <w:rFonts w:ascii="Times New Roman" w:hAnsi="Times New Roman" w:cs="Times New Roman"/>
          <w:sz w:val="28"/>
          <w:szCs w:val="28"/>
          <w:lang w:val="ro-RO"/>
        </w:rPr>
        <w:t>în ca</w:t>
      </w:r>
      <w:r w:rsidR="000D1029" w:rsidRPr="00CF19D1">
        <w:rPr>
          <w:rFonts w:ascii="Times New Roman" w:hAnsi="Times New Roman" w:cs="Times New Roman"/>
          <w:sz w:val="28"/>
          <w:szCs w:val="28"/>
          <w:lang w:val="ro-RO"/>
        </w:rPr>
        <w:t>drul Adunării Generale a Asociaț</w:t>
      </w:r>
      <w:r w:rsidRPr="00CF19D1">
        <w:rPr>
          <w:rFonts w:ascii="Times New Roman" w:hAnsi="Times New Roman" w:cs="Times New Roman"/>
          <w:sz w:val="28"/>
          <w:szCs w:val="28"/>
          <w:lang w:val="ro-RO"/>
        </w:rPr>
        <w:t>iei Comitetelor Olimpice Europene, desfășurată la București, iar Guvernul României a aprobat depunerea candidaturii prin Memorandumul adoptat în ședința din 6 iunie 2024. Ulterior, evenimentul a fost declarat de interes național prin HG nr. 1473/2024, fiind constituit un comitet interministerial pentru coordonare.</w:t>
      </w:r>
    </w:p>
    <w:p w14:paraId="1F0F3B37" w14:textId="706ED2B6" w:rsidR="006A3554" w:rsidRPr="00CF19D1" w:rsidRDefault="006A3554" w:rsidP="006A3554">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Competițiile se vor desfășura în localitățile: Brașov, Predeal, Râșnov, Sfântu Ghe</w:t>
      </w:r>
      <w:r w:rsidR="000D1029" w:rsidRPr="00CF19D1">
        <w:rPr>
          <w:rFonts w:ascii="Times New Roman" w:hAnsi="Times New Roman" w:cs="Times New Roman"/>
          <w:sz w:val="28"/>
          <w:szCs w:val="28"/>
          <w:lang w:val="ro-RO"/>
        </w:rPr>
        <w:t>orghe și Fundata, iar ca localităț</w:t>
      </w:r>
      <w:r w:rsidRPr="00CF19D1">
        <w:rPr>
          <w:rFonts w:ascii="Times New Roman" w:hAnsi="Times New Roman" w:cs="Times New Roman"/>
          <w:sz w:val="28"/>
          <w:szCs w:val="28"/>
          <w:lang w:val="ro-RO"/>
        </w:rPr>
        <w:t>i de rezervă au fost stabilite Miercurea Ciuc și Cârța.</w:t>
      </w:r>
    </w:p>
    <w:p w14:paraId="669688E6" w14:textId="77777777" w:rsidR="00CF19D1" w:rsidRPr="00CF19D1" w:rsidRDefault="00CF19D1" w:rsidP="006A3554">
      <w:pPr>
        <w:jc w:val="both"/>
        <w:rPr>
          <w:rFonts w:ascii="Times New Roman" w:hAnsi="Times New Roman" w:cs="Times New Roman"/>
          <w:sz w:val="28"/>
          <w:szCs w:val="28"/>
          <w:lang w:val="ro-RO"/>
        </w:rPr>
      </w:pPr>
    </w:p>
    <w:p w14:paraId="13A0761B" w14:textId="79680183"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privind aprobarea Notei de fundamentare privind necesitatea şi oportunitatea efectuării cheltuielilor de investiţii aferente proiectului ,,Dezvoltarea de tehnologii avansate pentru asigurarea securităţii </w:t>
      </w:r>
      <w:r w:rsidRPr="00CF19D1">
        <w:rPr>
          <w:rFonts w:ascii="Times New Roman" w:hAnsi="Times New Roman" w:cs="Times New Roman"/>
          <w:sz w:val="28"/>
          <w:szCs w:val="28"/>
          <w:lang w:val="ro-RO"/>
        </w:rPr>
        <w:lastRenderedPageBreak/>
        <w:t>cibernetice, prin platforme şi aplicaţii de detecţie şi analiză malware - Platforma APT-A V"</w:t>
      </w:r>
    </w:p>
    <w:p w14:paraId="06467F8F"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hAnsi="Times New Roman" w:cs="Times New Roman"/>
          <w:sz w:val="28"/>
          <w:szCs w:val="28"/>
          <w:lang w:val="ro-RO"/>
        </w:rPr>
        <w:t>Prin această hotărâre</w:t>
      </w:r>
      <w:r w:rsidRPr="00CF19D1">
        <w:rPr>
          <w:rFonts w:ascii="Times New Roman" w:eastAsia="Times New Roman" w:hAnsi="Times New Roman" w:cs="Times New Roman"/>
          <w:sz w:val="28"/>
          <w:szCs w:val="28"/>
          <w:lang w:val="ro-RO"/>
        </w:rPr>
        <w:t>, se alocă suma de 285,46 milioane lei pentru finanțarea proiectului „Dezvoltarea de tehnologii avansate pentru asigurarea securității cibernetice, prin platforme și aplicații de detecție și analiză malware – Platforma APT-AV”.</w:t>
      </w:r>
    </w:p>
    <w:p w14:paraId="5998459F"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Proiectul are ca obiectiv principal consolidarea securității cibernetice la nivel național, prin dezvoltarea și utilizarea unor tehnologii emergente și avansate dedicate cercetării, inovării și protecției infrastructurilor digitale. Inițiativa contribuie totodată la accelerarea procesului de transformare digitală a administrației publice și la protejarea datelor sensibile ale cetățenilor.</w:t>
      </w:r>
    </w:p>
    <w:p w14:paraId="41B3D933"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În cadrul proiectului vor fi dezvoltate două componente majore:</w:t>
      </w:r>
    </w:p>
    <w:p w14:paraId="2BA05DB5" w14:textId="77777777" w:rsidR="00724ACC" w:rsidRPr="00CF19D1" w:rsidRDefault="00724ACC" w:rsidP="00724ACC">
      <w:pPr>
        <w:numPr>
          <w:ilvl w:val="0"/>
          <w:numId w:val="39"/>
        </w:num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bCs/>
          <w:sz w:val="28"/>
          <w:szCs w:val="28"/>
          <w:lang w:val="ro-RO"/>
        </w:rPr>
        <w:t>Platforma națională de identificare a conținutului malware – ROMAL</w:t>
      </w:r>
      <w:r w:rsidRPr="00CF19D1">
        <w:rPr>
          <w:rFonts w:ascii="Times New Roman" w:eastAsia="Times New Roman" w:hAnsi="Times New Roman" w:cs="Times New Roman"/>
          <w:sz w:val="28"/>
          <w:szCs w:val="28"/>
          <w:lang w:val="ro-RO"/>
        </w:rPr>
        <w:t>, care va integra într-o bază de date unică informații despre amenințările cibernetice. Aceasta va permite instituțiilor publice, dar și utilizatorilor privați, să verifice fișiere suspecte și să contribuie la actualizarea permanentă a bazei de date. Platforma va facilita detectarea rapidă a noilor tipuri de atacuri și va reduce riscul de infectare a rețelelor și sistemelor informatice din România.</w:t>
      </w:r>
    </w:p>
    <w:p w14:paraId="4237BCF9" w14:textId="77777777" w:rsidR="00724ACC" w:rsidRPr="00CF19D1" w:rsidRDefault="00724ACC" w:rsidP="00724ACC">
      <w:pPr>
        <w:numPr>
          <w:ilvl w:val="0"/>
          <w:numId w:val="39"/>
        </w:num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bCs/>
          <w:sz w:val="28"/>
          <w:szCs w:val="28"/>
          <w:lang w:val="ro-RO"/>
        </w:rPr>
        <w:t>Soluția avansată de protecție antivirus și APT – NEXT BYTE</w:t>
      </w:r>
      <w:r w:rsidRPr="00CF19D1">
        <w:rPr>
          <w:rFonts w:ascii="Times New Roman" w:eastAsia="Times New Roman" w:hAnsi="Times New Roman" w:cs="Times New Roman"/>
          <w:sz w:val="28"/>
          <w:szCs w:val="28"/>
          <w:lang w:val="ro-RO"/>
        </w:rPr>
        <w:t>, bazată pe algoritmi de inteligență artificială de ultimă generație. Aceasta va asigura un nivel ridicat de securitate pentru instituțiile publice și va contribui la menținerea funcționării continue și eficiente a sistemelor informatice.</w:t>
      </w:r>
    </w:p>
    <w:p w14:paraId="6F597C96"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Implementarea acestui proiect va aduce beneficii semnificative, atât din perspectiva creșterii rezilienței cibernetice, cât și a eficientizării costurilor, prin reducerea necesității utilizării multiplelor soluții existente pe piață. Totodată, dezvoltarea unor tehnologii proprii la nivel național va diminua dependența de furnizori externi și va contribui la întărirea capacității României de a răspunde amenințărilor cibernetice.</w:t>
      </w:r>
    </w:p>
    <w:p w14:paraId="570D886B" w14:textId="380ED844"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Prin această investiție strategică, România face un pas important în direcția consolidării securității digitale și a protejării infrastructurilor critice, în beneficiul instituțiilor publice și al cetățenilor.</w:t>
      </w:r>
    </w:p>
    <w:p w14:paraId="2C8B7415" w14:textId="77777777" w:rsidR="00CF19D1" w:rsidRPr="00CF19D1" w:rsidRDefault="00CF19D1" w:rsidP="00724ACC">
      <w:pPr>
        <w:jc w:val="both"/>
        <w:rPr>
          <w:rFonts w:ascii="Times New Roman" w:eastAsia="Times New Roman" w:hAnsi="Times New Roman" w:cs="Times New Roman"/>
          <w:sz w:val="28"/>
          <w:szCs w:val="28"/>
          <w:lang w:val="ro-RO"/>
        </w:rPr>
      </w:pPr>
    </w:p>
    <w:p w14:paraId="0DDF9CEA" w14:textId="3A2F318C"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pentru declararea proiectului "Trecerea la tensiunea de 400 kV a axului Porţile de Fier - Reşiţa - Timişoara - Săcălaz – Arad, LEA 400 kV Timișoara - Arad, etapa III" ca proiect de importanță națională privind rețeaua electrică de transport, precum și pentru aprobarea amplasamentului și declanșarea procedurii de expropriere a tuturor imobilelor proprietate privată care constituie coridorul de expropriere al acestuia</w:t>
      </w:r>
    </w:p>
    <w:p w14:paraId="33BB5CB5" w14:textId="411CBA29" w:rsidR="00724ACC" w:rsidRPr="00CF19D1" w:rsidRDefault="005A551A"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Prin acest act normativ,</w:t>
      </w:r>
      <w:r w:rsidR="00724ACC" w:rsidRPr="00CF19D1">
        <w:rPr>
          <w:rFonts w:ascii="Times New Roman" w:eastAsia="Times New Roman" w:hAnsi="Times New Roman" w:cs="Times New Roman"/>
          <w:sz w:val="28"/>
          <w:szCs w:val="28"/>
          <w:lang w:val="ro-RO"/>
        </w:rPr>
        <w:t xml:space="preserve"> investiția ”LEA 400 kV Timișoara – Arad, etapa III”, aferentă axului energetic Porțile de Fier – Reșița – Timișoara – Săcălaz – Arad, este declarată proiect de importanță națională în domeniul rețelei electrice de transport, incluzând lucrările de construire, dezvoltare, modernizare, retehnologizare, exploatare, intervenții în caz de avarie, revizii, reparații, întreținere, relocare și realizare a condițiilor de coexistență, aferente rețelei electrice de transport.</w:t>
      </w:r>
    </w:p>
    <w:p w14:paraId="35E0551C" w14:textId="533C5D0F" w:rsidR="00724ACC" w:rsidRPr="00CF19D1" w:rsidRDefault="005A551A"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 xml:space="preserve">Totodată, se aprobă </w:t>
      </w:r>
      <w:r w:rsidR="00724ACC" w:rsidRPr="00CF19D1">
        <w:rPr>
          <w:rFonts w:ascii="Times New Roman" w:eastAsia="Times New Roman" w:hAnsi="Times New Roman" w:cs="Times New Roman"/>
          <w:sz w:val="28"/>
          <w:szCs w:val="28"/>
          <w:lang w:val="ro-RO"/>
        </w:rPr>
        <w:t>amplasamentul lucrării și se creează cadrul legal pentru realizarea investiției, inclusiv pentru derularea lucrărilor de construire, modernizare, exploatare și întreținere a infrastructurii energetice.</w:t>
      </w:r>
    </w:p>
    <w:p w14:paraId="7A2DE657"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Totodată, hotărârea prevede declanșarea procedurilor de expropriere pentru imobilele proprietate privată situate pe coridorul lucrării, statul român fiind expropriator, precum și aprobarea listelor cu proprietarii afectați și despăgubirile aferente. Sunt incluse și măsuri privind transferul dreptului de administrare pentru anumite imobile aflate în proprietate publică.</w:t>
      </w:r>
    </w:p>
    <w:p w14:paraId="4DEA8945"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lastRenderedPageBreak/>
        <w:t>Valoarea totală a obiectivului de investiții se ridică la aproximativ 362.615 lei (inclusiv TVA), iar suma necesară despăgubirilor pentru exproprieri este de circa 1,02 milioane lei. Durata de realizare a proiectului este de 36 de luni.</w:t>
      </w:r>
    </w:p>
    <w:p w14:paraId="39A10B09"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Finanțarea obiectivului de investiții este asigurată din surse proprii ale Companiei Naționale de Transport al Energiei Electrice ”Transelectrica S.A.”, precum și din alte surse legal constituite, în timp ce despăgubirile pentru imobilele proprietate privată care constituie coridorul de expropriere al obiectivului de investiţii sunt suportate de la bugetul de stat, prin bugetul Ministerului Economiei, Digitalizării, Antreprenoriatului și Turismului.</w:t>
      </w:r>
    </w:p>
    <w:p w14:paraId="7231327B" w14:textId="7CF11920"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Implementarea proiectului va avea un impact semnificativ asupra securității alimentării cu energie electrică în zona Banat, va contribui la reducerea pierderilor din rețea și la creșterea stabilității sistemului electroenergetic. De asemenea, va consolida capacitatea de interconectare cu sistemul energetic din Serbia, facilitând schimburile transfrontaliere de energie și creșterea siguranței în funcționare a rețelei naționale.</w:t>
      </w:r>
    </w:p>
    <w:p w14:paraId="485DD61D" w14:textId="77777777" w:rsidR="00CF19D1" w:rsidRPr="00CF19D1" w:rsidRDefault="00CF19D1" w:rsidP="00724ACC">
      <w:pPr>
        <w:jc w:val="both"/>
        <w:rPr>
          <w:rFonts w:ascii="Times New Roman" w:eastAsia="Times New Roman" w:hAnsi="Times New Roman" w:cs="Times New Roman"/>
          <w:sz w:val="28"/>
          <w:szCs w:val="28"/>
          <w:lang w:val="ro-RO"/>
        </w:rPr>
      </w:pPr>
    </w:p>
    <w:p w14:paraId="56936BD6" w14:textId="3EE94E1C"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Pr="00CF19D1">
        <w:rPr>
          <w:rFonts w:ascii="Times New Roman" w:hAnsi="Times New Roman" w:cs="Times New Roman"/>
          <w:sz w:val="28"/>
          <w:szCs w:val="28"/>
          <w:lang w:val="ro-RO"/>
        </w:rPr>
        <w:t xml:space="preserve"> pentru declararea proiectului „LEA 400 kV d.c. (1 c.e.) Constanța Nord – Medgidia Sud”' ca proiect de importanță națională privind rețeaua electrică de transport, precum și pentru aprobarea amplasamentului și declanșarea procedurii de expropriere a tuturor imobilelor proprietate privată care constituie coridorul de expropriere al acestuia</w:t>
      </w:r>
    </w:p>
    <w:p w14:paraId="396B1C9B" w14:textId="3FEFDD4D" w:rsidR="00724ACC" w:rsidRPr="00CF19D1" w:rsidRDefault="005A551A"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 xml:space="preserve">Prin această hotărâre, </w:t>
      </w:r>
      <w:r w:rsidR="00724ACC" w:rsidRPr="00CF19D1">
        <w:rPr>
          <w:rFonts w:ascii="Times New Roman" w:eastAsia="Times New Roman" w:hAnsi="Times New Roman" w:cs="Times New Roman"/>
          <w:sz w:val="28"/>
          <w:szCs w:val="28"/>
          <w:lang w:val="ro-RO"/>
        </w:rPr>
        <w:t>investiția "LEA 400 kV d.c. (1 c.e.) Constanța Nord-Medgidia Sud" este declarată proiect de importanță națională în domeniul rețelei electrice de transport, incluzând lucrările de construire, dezvoltare, modernizare, retehnologizare, exploatare, intervenții în caz de avarie, revizii, reparații, întreținere, relocare și realizare a condițiilor de coexistență, aferente rețelei electrice de transport.</w:t>
      </w:r>
    </w:p>
    <w:p w14:paraId="5D353F79" w14:textId="565852AB" w:rsidR="00724ACC" w:rsidRPr="00CF19D1" w:rsidRDefault="005A551A"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S</w:t>
      </w:r>
      <w:r w:rsidR="00724ACC" w:rsidRPr="00CF19D1">
        <w:rPr>
          <w:rFonts w:ascii="Times New Roman" w:eastAsia="Times New Roman" w:hAnsi="Times New Roman" w:cs="Times New Roman"/>
          <w:sz w:val="28"/>
          <w:szCs w:val="28"/>
          <w:lang w:val="ro-RO"/>
        </w:rPr>
        <w:t>e aprobă, de asemenea, amplasamentul obiectivului de investiții și se creează cadrul legal pentru realizarea investiției, inclusiv pentru derularea lucrărilor de construire, modernizare, exploatare și întreținere a infrastructurii energetice.</w:t>
      </w:r>
    </w:p>
    <w:p w14:paraId="5ED0E4A4"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Totodată, hotărârea prevede declanșarea procedurilor de expropriere pentru imobilele proprietate privată situate pe coridorul lucrării, statul român fiind expropriator, precum și aprobarea listelor cu proprietarii afectați și despăgubirile aferente. Sunt incluse și măsuri privind transferul dreptului de administrare pentru anumite imobile aflate în proprietate publică.</w:t>
      </w:r>
    </w:p>
    <w:p w14:paraId="0EE03FB2"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Valoarea totală a obiectivului de investiții se ridică la aproximativ 234.320 lei (inclusiv TVA), iar valoarea necesară procesului de expropriere este de circa 23.710 lei. Durata de realizare a proiectului este de 18 luni.</w:t>
      </w:r>
    </w:p>
    <w:p w14:paraId="4BF85A84" w14:textId="77777777"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Finanțarea obiectivului de investiții este asigurată din surse proprii ale Companiei Naționale de Transport al Energiei Electrice ”Transelectrica S.A.”, precum și din alte surse legal constituite, în timp ce despăgubirile pentru imobilele proprietate privată care constituie coridorul de expropriere al obiectivului de investiţii sunt suportate de la bugetul de stat, prin bugetul Ministerului Economiei, Digitalizării, Antreprenoriatului și Turismului.</w:t>
      </w:r>
    </w:p>
    <w:p w14:paraId="11B56567" w14:textId="52EBE92E" w:rsidR="00724ACC" w:rsidRPr="00CF19D1" w:rsidRDefault="00724ACC" w:rsidP="00724ACC">
      <w:pPr>
        <w:jc w:val="both"/>
        <w:rPr>
          <w:rFonts w:ascii="Times New Roman" w:eastAsia="Times New Roman" w:hAnsi="Times New Roman" w:cs="Times New Roman"/>
          <w:sz w:val="28"/>
          <w:szCs w:val="28"/>
          <w:lang w:val="ro-RO"/>
        </w:rPr>
      </w:pPr>
      <w:r w:rsidRPr="00CF19D1">
        <w:rPr>
          <w:rFonts w:ascii="Times New Roman" w:eastAsia="Times New Roman" w:hAnsi="Times New Roman" w:cs="Times New Roman"/>
          <w:sz w:val="28"/>
          <w:szCs w:val="28"/>
          <w:lang w:val="ro-RO"/>
        </w:rPr>
        <w:t>Linia electrică aeriană va permite racordarea la Sistemul Energetic Național (SEN) a noilor producători de energie electrică, în special a celor care utilizează surse regenerabile. În zona Dobrogea se desfășoară în prezent proiecte pentru centrale și parcuri eoliene, a căror producție trebuie integrată eficient în SEN.</w:t>
      </w:r>
    </w:p>
    <w:p w14:paraId="3F5D70F6" w14:textId="77777777" w:rsidR="00CF19D1" w:rsidRPr="00CF19D1" w:rsidRDefault="00CF19D1" w:rsidP="00724ACC">
      <w:pPr>
        <w:jc w:val="both"/>
        <w:rPr>
          <w:rFonts w:ascii="Times New Roman" w:eastAsia="Times New Roman" w:hAnsi="Times New Roman" w:cs="Times New Roman"/>
          <w:sz w:val="28"/>
          <w:szCs w:val="28"/>
          <w:lang w:val="ro-RO"/>
        </w:rPr>
      </w:pPr>
    </w:p>
    <w:p w14:paraId="709CDEBC" w14:textId="6C10D6FB" w:rsidR="00DE7DD0" w:rsidRPr="00CF19D1" w:rsidRDefault="00DE7DD0" w:rsidP="00DE7DD0">
      <w:pPr>
        <w:pStyle w:val="ListParagraph"/>
        <w:numPr>
          <w:ilvl w:val="0"/>
          <w:numId w:val="28"/>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HOTĂRÂRE DE GUVERN</w:t>
      </w:r>
      <w:r w:rsidR="00724ACC" w:rsidRPr="00CF19D1">
        <w:rPr>
          <w:rFonts w:ascii="Times New Roman" w:hAnsi="Times New Roman" w:cs="Times New Roman"/>
          <w:sz w:val="28"/>
          <w:szCs w:val="28"/>
          <w:lang w:val="ro-RO"/>
        </w:rPr>
        <w:t xml:space="preserve"> privind aprobarea criteriilor</w:t>
      </w:r>
      <w:r w:rsidRPr="00CF19D1">
        <w:rPr>
          <w:rFonts w:ascii="Times New Roman" w:hAnsi="Times New Roman" w:cs="Times New Roman"/>
          <w:sz w:val="28"/>
          <w:szCs w:val="28"/>
          <w:lang w:val="ro-RO"/>
        </w:rPr>
        <w:t xml:space="preserve"> proprii pentru identificarea operatorilor economici de interes strategic din domeniul de activitate al Ministerului Economiei, Digitalizării, Antreprenoriatului și Turismului</w:t>
      </w:r>
    </w:p>
    <w:p w14:paraId="78CA4939" w14:textId="77777777" w:rsidR="00724ACC" w:rsidRPr="00CF19D1" w:rsidRDefault="00724ACC" w:rsidP="00724ACC">
      <w:pPr>
        <w:pStyle w:val="NoSpacing"/>
        <w:jc w:val="both"/>
        <w:rPr>
          <w:rFonts w:cs="Times New Roman"/>
          <w:i/>
          <w:szCs w:val="28"/>
          <w:lang w:val="ro-RO"/>
        </w:rPr>
      </w:pPr>
      <w:r w:rsidRPr="00CF19D1">
        <w:rPr>
          <w:rFonts w:cs="Times New Roman"/>
          <w:szCs w:val="28"/>
          <w:lang w:val="ro-RO"/>
        </w:rPr>
        <w:lastRenderedPageBreak/>
        <w:t xml:space="preserve">Executivul a aprobat criteriile pentru identificarea operatorilor economici de interes strategic din domeniile de activitate ale Ministerului Economiei, Digitalizării, Antreprenoriatului și Turismului, elaborate pe baza prevederilor Legii nr. 200/2006 privind constituirea și utilizarea Fondului de garantare pentru plata creanțelor salariale, cu modificările și completările ulterioare. </w:t>
      </w:r>
    </w:p>
    <w:p w14:paraId="03680B7E"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 xml:space="preserve">Aceste criterii vor sta la baza desemnării ulterioare, prin hotărâri distincte ale Guvernului, a companiilor esențiale pentru apărarea națională, securitatea economică, energetică, alimentară și socială, precum și pentru funcționarea infrastructurilor critice. </w:t>
      </w:r>
    </w:p>
    <w:p w14:paraId="498D96F2"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Aplicarea acestor criterii va permite instituirea unui mecanism de protecție socială strategică pentru salariați, conform cadrului legal existent.</w:t>
      </w:r>
    </w:p>
    <w:p w14:paraId="57E4A844"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Operatorii economici de interes strategic din domeniile de activitate trebuie să îndeplinească cel puțin unul dintre criteriile stabilite prin prezenta hotărâre și detaliate în anexă.</w:t>
      </w:r>
    </w:p>
    <w:p w14:paraId="7A18172F"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Astfel, în ceea ce privește criteriile generale pentru sectorul industrial, operatorii economici sunt evaluați în funcție de contribuția semnificativă la exporturile României, de rolul în domenii prioritare - activități desfășurate în sectoare industriale strategice conform Strategiei Industriale a României 2024–2030 - , de importanța în lanțurile de aprovizionare, de poziția în lanțurile valorice strategice, deținerea de capacități industriale critice, precum și de impactul asupra ocupării forței de muncă.</w:t>
      </w:r>
    </w:p>
    <w:p w14:paraId="093E6827"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Pentru industria de apărare sunt prevăzute criterii specifice privind autorizarea conform Legii nr. 232/2016, deținerea capacităților de producție autorizate, stabilirea sarcinilor în Planul de mobilizare, funcționarea ca centru de mentenanță declarat oficial și desfășurarea activităților de importanță strategică prevăzute de lege.</w:t>
      </w:r>
    </w:p>
    <w:p w14:paraId="3A2E603B"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În sectorul resurselor minerale neenergetice, operatorii economici trebuie să îndeplinească criterii privind contribuția la aprovizionarea cu materii prime critice identificate de Comisia Europeană, deținerea licențelor de concesiune pentru exploatarea resurselor și dreptul de folosință asupra perimetrului minier, precum și deținerea infrastructurilor specifice pentru gestionarea deșeurilor rezultate din extracția materiilor prime critice (iazuri de decantare sau halde).</w:t>
      </w:r>
    </w:p>
    <w:p w14:paraId="202E9CE4" w14:textId="77777777" w:rsidR="00724ACC" w:rsidRPr="00CF19D1" w:rsidRDefault="00724ACC" w:rsidP="00724ACC">
      <w:pPr>
        <w:pStyle w:val="NoSpacing"/>
        <w:jc w:val="both"/>
        <w:rPr>
          <w:rFonts w:cs="Times New Roman"/>
          <w:szCs w:val="28"/>
          <w:lang w:val="ro-RO"/>
        </w:rPr>
      </w:pPr>
      <w:r w:rsidRPr="00CF19D1">
        <w:rPr>
          <w:rFonts w:cs="Times New Roman"/>
          <w:szCs w:val="28"/>
          <w:lang w:val="ro-RO"/>
        </w:rPr>
        <w:t>Măsura nu constituie ajutor de stat în sensul art. 107 TFUE, deoarece scopul ei îl reprezintă protecția drepturilor salariale ale angajaților, și nu restabilirea viabilității economice a operatorului economic de interes strategic, indiferent de forma de proprietate.</w:t>
      </w:r>
    </w:p>
    <w:p w14:paraId="0AD65165" w14:textId="77777777" w:rsidR="00BE1258" w:rsidRPr="00CF19D1" w:rsidRDefault="00BE1258" w:rsidP="00BE1258">
      <w:pPr>
        <w:autoSpaceDE w:val="0"/>
        <w:autoSpaceDN w:val="0"/>
        <w:adjustRightInd w:val="0"/>
        <w:rPr>
          <w:rFonts w:ascii="TimesNewRomanBold" w:hAnsi="TimesNewRomanBold" w:cs="TimesNewRomanBold"/>
          <w:b/>
          <w:bCs/>
          <w:color w:val="FFFFFF"/>
          <w:sz w:val="28"/>
          <w:szCs w:val="28"/>
          <w:lang w:val="ro-RO"/>
        </w:rPr>
      </w:pPr>
      <w:r w:rsidRPr="00CF19D1">
        <w:rPr>
          <w:rFonts w:ascii="TimesNewRomanBold" w:hAnsi="TimesNewRomanBold" w:cs="TimesNewRomanBold"/>
          <w:b/>
          <w:bCs/>
          <w:color w:val="FFFFFF"/>
          <w:sz w:val="28"/>
          <w:szCs w:val="28"/>
          <w:lang w:val="ro-RO"/>
        </w:rPr>
        <w:t>III - MEMORANDUMURI</w:t>
      </w:r>
    </w:p>
    <w:p w14:paraId="5AFD34B4" w14:textId="77777777" w:rsidR="00BE1258" w:rsidRPr="00CF19D1" w:rsidRDefault="00BE1258" w:rsidP="00BE1258">
      <w:pPr>
        <w:pStyle w:val="ListParagraph"/>
        <w:numPr>
          <w:ilvl w:val="0"/>
          <w:numId w:val="1"/>
        </w:numPr>
        <w:autoSpaceDE w:val="0"/>
        <w:autoSpaceDN w:val="0"/>
        <w:adjustRightInd w:val="0"/>
        <w:jc w:val="both"/>
        <w:rPr>
          <w:rFonts w:ascii="TimesNewRoman" w:hAnsi="TimesNewRoman" w:cs="TimesNewRoman"/>
          <w:b/>
          <w:sz w:val="28"/>
          <w:szCs w:val="28"/>
          <w:u w:val="single"/>
          <w:lang w:val="ro-RO"/>
        </w:rPr>
      </w:pPr>
      <w:r w:rsidRPr="00CF19D1">
        <w:rPr>
          <w:rFonts w:ascii="TimesNewRoman" w:hAnsi="TimesNewRoman" w:cs="TimesNewRoman"/>
          <w:b/>
          <w:sz w:val="28"/>
          <w:szCs w:val="28"/>
          <w:u w:val="single"/>
          <w:lang w:val="ro-RO"/>
        </w:rPr>
        <w:t>MEMORANDUMURI</w:t>
      </w:r>
    </w:p>
    <w:p w14:paraId="3EDBD341" w14:textId="77777777" w:rsidR="00BE1258" w:rsidRPr="00CF19D1" w:rsidRDefault="00BE1258" w:rsidP="00BE1258">
      <w:pPr>
        <w:pStyle w:val="ListParagraph"/>
        <w:numPr>
          <w:ilvl w:val="0"/>
          <w:numId w:val="30"/>
        </w:numPr>
        <w:autoSpaceDE w:val="0"/>
        <w:autoSpaceDN w:val="0"/>
        <w:adjustRightInd w:val="0"/>
        <w:ind w:left="1260" w:hanging="54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MEMORANDUM</w:t>
      </w:r>
      <w:r w:rsidRPr="00CF19D1">
        <w:rPr>
          <w:rFonts w:ascii="TimesNewRoman" w:hAnsi="TimesNewRoman" w:cs="TimesNewRoman"/>
          <w:color w:val="000000"/>
          <w:sz w:val="28"/>
          <w:szCs w:val="28"/>
          <w:lang w:val="ro-RO"/>
        </w:rPr>
        <w:t xml:space="preserve"> cu tema: Transmiterea Raportului voluntar intermediar privind implementarea recomandărilor primite şi acceptate de România în cadrul celui de-al 4-lea ciclu al Evaluării Periodice Universale</w:t>
      </w:r>
    </w:p>
    <w:p w14:paraId="0476FD43"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Prin acest memorandum, Guvernul aprobă transmiterea Raportului voluntar intermediar privind implementarea recomandărilor privind drepturile omului primite si acceptate de România în cadrul celui de-al 4-lea ciclu al Evaluării Periodice Universale. </w:t>
      </w:r>
    </w:p>
    <w:p w14:paraId="63DEB234"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Raportul, elaborat în conformitate cu Rezoluția 16/21 a Consiliului pentru Drepturile Omului, evidențiază progresele înregistrate de România în promovarea și protecția drepturilor omului în perioada mai 2023 – prezent, precum și măsurile adoptate pentru implementarea celor 208 recomandări acceptate din totalul de 251 primite. </w:t>
      </w:r>
    </w:p>
    <w:p w14:paraId="71675DF0"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Documentul sintetizează acțiunile întreprinse la nivel național, subliniind evoluții importante în alinierea legislației la standardele internaționale, consolidarea cadrului instituțional și dezvoltarea politicilor publice bazate pe date. Progrese semnificative au fost realizate în protecția drepturilor femeilor, copiilor și persoanelor cu dizabilități, precum și în asigurarea accesului echitabil la educație și servicii de sănătate.</w:t>
      </w:r>
    </w:p>
    <w:p w14:paraId="258BB35B"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 xml:space="preserve">Totodată, au fost intensificate eforturile de prevenire și combatere a violenței, prin dezvoltarea serviciilor destinate victimelor și extinderea programelor de formare pentru </w:t>
      </w:r>
      <w:r w:rsidRPr="00CF19D1">
        <w:rPr>
          <w:rFonts w:ascii="Times New Roman" w:hAnsi="Times New Roman" w:cs="Times New Roman"/>
          <w:sz w:val="28"/>
          <w:szCs w:val="28"/>
          <w:lang w:val="ro-RO"/>
        </w:rPr>
        <w:lastRenderedPageBreak/>
        <w:t>profesioniști. În domeniul educației, programele naționale recente vizează reducerea abandonului școlar și îmbunătățirea nivelului de alfabetizare funcțională.</w:t>
      </w:r>
    </w:p>
    <w:p w14:paraId="7B6C6493"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Strategia națională de sănătate 2023–2030 prioritizează prevenția și accesul grupurilor vulnerabile la servicii medicale de bază. În paralel, politicile sociale și educaționale au fost consolidate pentru reducerea inegalităților și sprijinirea incluziunii sociale, inclusiv prin programe dedicate comunităților de romi și minorităților naționale.</w:t>
      </w:r>
    </w:p>
    <w:p w14:paraId="085B564A"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În domeniul justiției, România a adoptat măsuri legislative și operaționale importante pentru combaterea traficului de persoane, întărind protecția victimelor și înăsprind sancțiunile. De asemenea, au fost îmbunătățite condițiile din sistemul penitenciar, prin modernizarea infrastructurii și extinderea programelor de reintegrare socială.</w:t>
      </w:r>
    </w:p>
    <w:p w14:paraId="330A042A" w14:textId="77777777" w:rsidR="000A60FA" w:rsidRPr="00CF19D1" w:rsidRDefault="000A60FA" w:rsidP="000A60FA">
      <w:pPr>
        <w:jc w:val="both"/>
        <w:rPr>
          <w:rFonts w:ascii="Times New Roman" w:hAnsi="Times New Roman" w:cs="Times New Roman"/>
          <w:sz w:val="28"/>
          <w:szCs w:val="28"/>
          <w:lang w:val="ro-RO"/>
        </w:rPr>
      </w:pPr>
      <w:r w:rsidRPr="00CF19D1">
        <w:rPr>
          <w:rFonts w:ascii="Times New Roman" w:hAnsi="Times New Roman" w:cs="Times New Roman"/>
          <w:sz w:val="28"/>
          <w:szCs w:val="28"/>
          <w:lang w:val="ro-RO"/>
        </w:rPr>
        <w:t>Prin aceste demersuri, România își reafirmă angajamentul ferm față de respectarea drepturilor omului, consolidarea statului de drept și promovarea valorilor democratice, în conformitate cu obligațiile sale internaționale.</w:t>
      </w:r>
    </w:p>
    <w:p w14:paraId="124433BE" w14:textId="77777777" w:rsidR="00BE1258" w:rsidRPr="00CF19D1" w:rsidRDefault="00BE1258" w:rsidP="00BE1258">
      <w:pPr>
        <w:autoSpaceDE w:val="0"/>
        <w:autoSpaceDN w:val="0"/>
        <w:adjustRightInd w:val="0"/>
        <w:jc w:val="both"/>
        <w:rPr>
          <w:rFonts w:ascii="TimesNewRoman" w:hAnsi="TimesNewRoman" w:cs="TimesNewRoman"/>
          <w:color w:val="000000"/>
          <w:sz w:val="28"/>
          <w:szCs w:val="28"/>
          <w:lang w:val="ro-RO"/>
        </w:rPr>
      </w:pPr>
    </w:p>
    <w:p w14:paraId="5D81AC4E" w14:textId="77777777" w:rsidR="00BE1258" w:rsidRPr="00CF19D1" w:rsidRDefault="00BE1258" w:rsidP="00BE1258">
      <w:pPr>
        <w:pStyle w:val="ListParagraph"/>
        <w:numPr>
          <w:ilvl w:val="0"/>
          <w:numId w:val="1"/>
        </w:numPr>
        <w:autoSpaceDE w:val="0"/>
        <w:autoSpaceDN w:val="0"/>
        <w:adjustRightInd w:val="0"/>
        <w:jc w:val="both"/>
        <w:rPr>
          <w:rFonts w:ascii="TimesNewRoman" w:hAnsi="TimesNewRoman" w:cs="TimesNewRoman"/>
          <w:b/>
          <w:color w:val="000000"/>
          <w:sz w:val="28"/>
          <w:szCs w:val="28"/>
          <w:u w:val="single"/>
          <w:lang w:val="ro-RO"/>
        </w:rPr>
      </w:pPr>
      <w:r w:rsidRPr="00CF19D1">
        <w:rPr>
          <w:rFonts w:ascii="TimesNewRoman" w:hAnsi="TimesNewRoman" w:cs="TimesNewRoman"/>
          <w:b/>
          <w:color w:val="000000"/>
          <w:sz w:val="28"/>
          <w:szCs w:val="28"/>
          <w:u w:val="single"/>
          <w:lang w:val="ro-RO"/>
        </w:rPr>
        <w:t>NOTE</w:t>
      </w:r>
    </w:p>
    <w:p w14:paraId="52BC1396" w14:textId="73AA21DF" w:rsidR="00BE1258" w:rsidRPr="00CF19D1" w:rsidRDefault="00BE1258" w:rsidP="00BE1258">
      <w:pPr>
        <w:pStyle w:val="ListParagraph"/>
        <w:numPr>
          <w:ilvl w:val="0"/>
          <w:numId w:val="29"/>
        </w:numPr>
        <w:autoSpaceDE w:val="0"/>
        <w:autoSpaceDN w:val="0"/>
        <w:adjustRightInd w:val="0"/>
        <w:ind w:left="1260"/>
        <w:jc w:val="both"/>
        <w:rPr>
          <w:rFonts w:ascii="TimesNewRoman" w:hAnsi="TimesNewRoman" w:cs="TimesNewRoman"/>
          <w:color w:val="000000"/>
          <w:sz w:val="28"/>
          <w:szCs w:val="28"/>
          <w:lang w:val="ro-RO"/>
        </w:rPr>
      </w:pPr>
      <w:r w:rsidRPr="00CF19D1">
        <w:rPr>
          <w:rFonts w:ascii="TimesNewRoman" w:hAnsi="TimesNewRoman" w:cs="TimesNewRoman"/>
          <w:b/>
          <w:color w:val="000000"/>
          <w:sz w:val="28"/>
          <w:szCs w:val="28"/>
          <w:lang w:val="ro-RO"/>
        </w:rPr>
        <w:t>NOTĂ</w:t>
      </w:r>
      <w:r w:rsidRPr="00CF19D1">
        <w:rPr>
          <w:rFonts w:ascii="TimesNewRoman" w:hAnsi="TimesNewRoman" w:cs="TimesNewRoman"/>
          <w:color w:val="000000"/>
          <w:sz w:val="28"/>
          <w:szCs w:val="28"/>
          <w:lang w:val="ro-RO"/>
        </w:rPr>
        <w:t xml:space="preserve"> privind aprobarea transmiterii de către Guvern, prin Secretariatul General al Guvernului, a unei cereri către Consiliul Local comunei Balta Albă, judeţul Buzău de adoptare a unei hotărâri privind transmiterea unor bunuri imobile din domeniul public al comunei Balta Albă, judeţul Buzău în domeniul public al statului, în vederea dării acestora în administrarea Agenției Naţionale de Îmbunătăţiri Funciare</w:t>
      </w:r>
    </w:p>
    <w:p w14:paraId="2D8E7ECB" w14:textId="324372CC" w:rsidR="006A3554" w:rsidRPr="00CF19D1" w:rsidRDefault="006A3554" w:rsidP="006A3554">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 xml:space="preserve">Guvernul a luat act de această notă. </w:t>
      </w:r>
    </w:p>
    <w:p w14:paraId="6097BB09" w14:textId="77777777" w:rsidR="00CF19D1" w:rsidRPr="00CF19D1" w:rsidRDefault="00CF19D1" w:rsidP="006A3554">
      <w:pPr>
        <w:autoSpaceDE w:val="0"/>
        <w:autoSpaceDN w:val="0"/>
        <w:adjustRightInd w:val="0"/>
        <w:jc w:val="both"/>
        <w:rPr>
          <w:rFonts w:ascii="TimesNewRoman" w:hAnsi="TimesNewRoman" w:cs="TimesNewRoman"/>
          <w:color w:val="000000"/>
          <w:sz w:val="28"/>
          <w:szCs w:val="28"/>
          <w:lang w:val="ro-RO"/>
        </w:rPr>
      </w:pPr>
    </w:p>
    <w:p w14:paraId="5D33611C" w14:textId="77777777" w:rsidR="006A3554" w:rsidRPr="00CF19D1" w:rsidRDefault="006A3554" w:rsidP="006A3554">
      <w:pPr>
        <w:pStyle w:val="ListParagraph"/>
        <w:numPr>
          <w:ilvl w:val="0"/>
          <w:numId w:val="29"/>
        </w:numPr>
        <w:autoSpaceDE w:val="0"/>
        <w:autoSpaceDN w:val="0"/>
        <w:adjustRightInd w:val="0"/>
        <w:ind w:left="1260"/>
        <w:jc w:val="both"/>
        <w:rPr>
          <w:rFonts w:ascii="Times New Roman" w:hAnsi="Times New Roman" w:cs="Times New Roman"/>
          <w:color w:val="000000"/>
          <w:sz w:val="28"/>
          <w:szCs w:val="28"/>
          <w:lang w:val="ro-RO"/>
        </w:rPr>
      </w:pPr>
      <w:r w:rsidRPr="00CF19D1">
        <w:rPr>
          <w:rFonts w:ascii="Times New Roman" w:hAnsi="Times New Roman" w:cs="Times New Roman"/>
          <w:b/>
          <w:sz w:val="28"/>
          <w:szCs w:val="28"/>
          <w:lang w:val="ro-RO"/>
        </w:rPr>
        <w:t>NOTĂ</w:t>
      </w:r>
      <w:r w:rsidRPr="00CF19D1">
        <w:rPr>
          <w:rFonts w:ascii="Times New Roman" w:hAnsi="Times New Roman" w:cs="Times New Roman"/>
          <w:sz w:val="28"/>
          <w:szCs w:val="28"/>
          <w:lang w:val="ro-RO"/>
        </w:rPr>
        <w:t xml:space="preserve"> privind necesitatea adoptării Proiectului de Ordonanță de Urgență în vederea clarificării juridice privind aplicarea prevederilor art. II din Legea 197/2024</w:t>
      </w:r>
    </w:p>
    <w:p w14:paraId="496FFF1E" w14:textId="10E88BA9" w:rsidR="000A60FA" w:rsidRPr="00CF19D1" w:rsidRDefault="000A60FA" w:rsidP="000A60FA">
      <w:pPr>
        <w:autoSpaceDE w:val="0"/>
        <w:autoSpaceDN w:val="0"/>
        <w:adjustRightInd w:val="0"/>
        <w:jc w:val="both"/>
        <w:rPr>
          <w:rFonts w:ascii="TimesNewRoman" w:hAnsi="TimesNewRoman" w:cs="TimesNewRoman"/>
          <w:color w:val="000000"/>
          <w:sz w:val="28"/>
          <w:szCs w:val="28"/>
          <w:lang w:val="ro-RO"/>
        </w:rPr>
      </w:pPr>
      <w:r w:rsidRPr="00CF19D1">
        <w:rPr>
          <w:rFonts w:ascii="TimesNewRoman" w:hAnsi="TimesNewRoman" w:cs="TimesNewRoman"/>
          <w:color w:val="000000"/>
          <w:sz w:val="28"/>
          <w:szCs w:val="28"/>
          <w:lang w:val="ro-RO"/>
        </w:rPr>
        <w:t xml:space="preserve">Guvernul a luat act de această notă. </w:t>
      </w:r>
    </w:p>
    <w:p w14:paraId="144846E0" w14:textId="77777777" w:rsidR="00BE1258" w:rsidRPr="00CF19D1" w:rsidRDefault="00BE1258" w:rsidP="00BE1258">
      <w:pPr>
        <w:autoSpaceDE w:val="0"/>
        <w:autoSpaceDN w:val="0"/>
        <w:adjustRightInd w:val="0"/>
        <w:jc w:val="both"/>
        <w:rPr>
          <w:rFonts w:ascii="TimesNewRomanBold" w:hAnsi="TimesNewRomanBold" w:cs="TimesNewRomanBold"/>
          <w:b/>
          <w:bCs/>
          <w:color w:val="FFFFFF"/>
          <w:sz w:val="28"/>
          <w:szCs w:val="28"/>
          <w:lang w:val="ro-RO"/>
        </w:rPr>
      </w:pPr>
    </w:p>
    <w:p w14:paraId="33D3A9A3" w14:textId="77777777" w:rsidR="00BE1258" w:rsidRPr="00CF19D1" w:rsidRDefault="00BE1258" w:rsidP="00BE1258">
      <w:pPr>
        <w:pStyle w:val="ListParagraph"/>
        <w:numPr>
          <w:ilvl w:val="0"/>
          <w:numId w:val="1"/>
        </w:numPr>
        <w:ind w:hanging="630"/>
        <w:jc w:val="both"/>
        <w:rPr>
          <w:rFonts w:ascii="Times New Roman" w:hAnsi="Times New Roman" w:cs="Times New Roman"/>
          <w:b/>
          <w:sz w:val="28"/>
          <w:szCs w:val="28"/>
          <w:u w:val="single"/>
          <w:lang w:val="ro-RO"/>
        </w:rPr>
      </w:pPr>
      <w:r w:rsidRPr="00CF19D1">
        <w:rPr>
          <w:rFonts w:ascii="Times New Roman" w:hAnsi="Times New Roman" w:cs="Times New Roman"/>
          <w:b/>
          <w:sz w:val="28"/>
          <w:szCs w:val="28"/>
          <w:u w:val="single"/>
          <w:lang w:val="ro-RO"/>
        </w:rPr>
        <w:t xml:space="preserve">PUNCTE DE VEDERE </w:t>
      </w:r>
    </w:p>
    <w:p w14:paraId="5A1F96C6" w14:textId="77777777" w:rsidR="00BE1258" w:rsidRPr="00CF19D1" w:rsidRDefault="00BE1258" w:rsidP="00BE1258">
      <w:pPr>
        <w:pStyle w:val="ListParagraph"/>
        <w:numPr>
          <w:ilvl w:val="0"/>
          <w:numId w:val="31"/>
        </w:numPr>
        <w:autoSpaceDE w:val="0"/>
        <w:autoSpaceDN w:val="0"/>
        <w:adjustRightInd w:val="0"/>
        <w:ind w:left="1170"/>
        <w:jc w:val="both"/>
        <w:rPr>
          <w:rFonts w:ascii="Times New Roman" w:hAnsi="Times New Roman" w:cs="Times New Roman"/>
          <w:b/>
          <w:bCs/>
          <w:iCs/>
          <w:sz w:val="28"/>
          <w:szCs w:val="28"/>
          <w:shd w:val="clear" w:color="auto" w:fill="FFFFFF"/>
          <w:lang w:val="ro-RO"/>
        </w:rPr>
      </w:pPr>
      <w:r w:rsidRPr="00CF19D1">
        <w:rPr>
          <w:rFonts w:ascii="TimesNewRoman" w:hAnsi="TimesNewRoman" w:cs="TimesNewRoman"/>
          <w:b/>
          <w:color w:val="000000"/>
          <w:sz w:val="28"/>
          <w:szCs w:val="28"/>
          <w:lang w:val="ro-RO"/>
        </w:rPr>
        <w:t>PUNCT DE VEDERE</w:t>
      </w:r>
      <w:r w:rsidRPr="00CF19D1">
        <w:rPr>
          <w:rFonts w:ascii="TimesNewRoman" w:hAnsi="TimesNewRoman" w:cs="TimesNewRoman"/>
          <w:color w:val="000000"/>
          <w:sz w:val="28"/>
          <w:szCs w:val="28"/>
          <w:lang w:val="ro-RO"/>
        </w:rPr>
        <w:t xml:space="preserve"> cu privire la 12 inițiative legislative</w:t>
      </w:r>
    </w:p>
    <w:p w14:paraId="08E80B7D" w14:textId="77777777" w:rsidR="00BE1258" w:rsidRPr="00CF19D1" w:rsidRDefault="00BE1258" w:rsidP="00BE1258">
      <w:pPr>
        <w:autoSpaceDE w:val="0"/>
        <w:autoSpaceDN w:val="0"/>
        <w:adjustRightInd w:val="0"/>
        <w:jc w:val="both"/>
        <w:rPr>
          <w:rFonts w:ascii="Times New Roman" w:hAnsi="Times New Roman" w:cs="Times New Roman"/>
          <w:b/>
          <w:bCs/>
          <w:iCs/>
          <w:sz w:val="28"/>
          <w:szCs w:val="28"/>
          <w:shd w:val="clear" w:color="auto" w:fill="FFFFFF"/>
          <w:lang w:val="ro-RO"/>
        </w:rPr>
      </w:pPr>
    </w:p>
    <w:p w14:paraId="33ABD498" w14:textId="77777777" w:rsidR="009442A8" w:rsidRPr="00CF19D1" w:rsidRDefault="009442A8" w:rsidP="00242567">
      <w:pPr>
        <w:autoSpaceDE w:val="0"/>
        <w:autoSpaceDN w:val="0"/>
        <w:adjustRightInd w:val="0"/>
        <w:jc w:val="both"/>
        <w:rPr>
          <w:rFonts w:ascii="Times New Roman" w:hAnsi="Times New Roman" w:cs="Times New Roman"/>
          <w:bCs/>
          <w:i/>
          <w:iCs/>
          <w:sz w:val="28"/>
          <w:szCs w:val="28"/>
          <w:shd w:val="clear" w:color="auto" w:fill="FFFFFF"/>
          <w:lang w:val="ro-RO"/>
        </w:rPr>
      </w:pPr>
    </w:p>
    <w:p w14:paraId="2F4622CC" w14:textId="77777777" w:rsidR="00260AE4" w:rsidRPr="00CF19D1" w:rsidRDefault="00260AE4" w:rsidP="00242567">
      <w:pPr>
        <w:autoSpaceDE w:val="0"/>
        <w:autoSpaceDN w:val="0"/>
        <w:adjustRightInd w:val="0"/>
        <w:jc w:val="both"/>
        <w:rPr>
          <w:rFonts w:ascii="Times New Roman" w:hAnsi="Times New Roman" w:cs="Times New Roman"/>
          <w:b/>
          <w:bCs/>
          <w:iCs/>
          <w:sz w:val="20"/>
          <w:szCs w:val="20"/>
          <w:shd w:val="clear" w:color="auto" w:fill="FFFFFF"/>
          <w:lang w:val="ro-RO"/>
        </w:rPr>
      </w:pPr>
    </w:p>
    <w:p w14:paraId="22FE9E64" w14:textId="77777777" w:rsidR="00996440" w:rsidRPr="00CF19D1" w:rsidRDefault="00996440" w:rsidP="00242567">
      <w:pPr>
        <w:jc w:val="both"/>
        <w:rPr>
          <w:rFonts w:ascii="Times New Roman" w:hAnsi="Times New Roman" w:cs="Times New Roman"/>
          <w:bCs/>
          <w:sz w:val="20"/>
          <w:szCs w:val="20"/>
          <w:shd w:val="clear" w:color="auto" w:fill="FFFFFF"/>
          <w:lang w:val="ro-RO"/>
        </w:rPr>
      </w:pPr>
      <w:r w:rsidRPr="00CF19D1">
        <w:rPr>
          <w:rFonts w:ascii="Times New Roman" w:hAnsi="Times New Roman" w:cs="Times New Roman"/>
          <w:iCs/>
          <w:sz w:val="20"/>
          <w:szCs w:val="20"/>
          <w:shd w:val="clear" w:color="auto" w:fill="FFFFFF"/>
          <w:lang w:val="ro-RO"/>
        </w:rPr>
        <w:t>Contact</w:t>
      </w:r>
      <w:r w:rsidRPr="00CF19D1">
        <w:rPr>
          <w:rFonts w:ascii="Times New Roman" w:hAnsi="Times New Roman" w:cs="Times New Roman"/>
          <w:bCs/>
          <w:sz w:val="20"/>
          <w:szCs w:val="20"/>
          <w:shd w:val="clear" w:color="auto" w:fill="FFFFFF"/>
          <w:lang w:val="ro-RO"/>
        </w:rPr>
        <w:t xml:space="preserve">: </w:t>
      </w:r>
      <w:r w:rsidRPr="00CF19D1">
        <w:rPr>
          <w:rFonts w:ascii="Times New Roman" w:hAnsi="Times New Roman" w:cs="Times New Roman"/>
          <w:iCs/>
          <w:sz w:val="20"/>
          <w:szCs w:val="20"/>
          <w:shd w:val="clear" w:color="auto" w:fill="FFFFFF"/>
          <w:lang w:val="ro-RO"/>
        </w:rPr>
        <w:t>Biroul</w:t>
      </w:r>
      <w:r w:rsidRPr="00CF19D1">
        <w:rPr>
          <w:rFonts w:ascii="Times New Roman" w:hAnsi="Times New Roman" w:cs="Times New Roman"/>
          <w:sz w:val="20"/>
          <w:szCs w:val="20"/>
          <w:shd w:val="clear" w:color="auto" w:fill="FFFFFF"/>
          <w:lang w:val="ro-RO"/>
        </w:rPr>
        <w:t xml:space="preserve"> de presă al Guvernului </w:t>
      </w:r>
      <w:hyperlink r:id="rId9" w:history="1">
        <w:r w:rsidRPr="00CF19D1">
          <w:rPr>
            <w:rStyle w:val="Hyperlink"/>
            <w:rFonts w:ascii="Times New Roman" w:hAnsi="Times New Roman" w:cs="Times New Roman"/>
            <w:sz w:val="20"/>
            <w:szCs w:val="20"/>
            <w:shd w:val="clear" w:color="auto" w:fill="FFFFFF"/>
            <w:lang w:val="ro-RO"/>
          </w:rPr>
          <w:t>presa@gov.ro</w:t>
        </w:r>
      </w:hyperlink>
    </w:p>
    <w:p w14:paraId="1D0F2D2F" w14:textId="77777777" w:rsidR="00996440" w:rsidRPr="00CF19D1" w:rsidRDefault="00996440" w:rsidP="00242567">
      <w:pPr>
        <w:jc w:val="both"/>
        <w:rPr>
          <w:rFonts w:ascii="Times New Roman" w:hAnsi="Times New Roman" w:cs="Times New Roman"/>
          <w:sz w:val="20"/>
          <w:szCs w:val="20"/>
          <w:shd w:val="clear" w:color="auto" w:fill="FFFFFF"/>
          <w:lang w:val="ro-RO"/>
        </w:rPr>
      </w:pPr>
      <w:r w:rsidRPr="00CF19D1">
        <w:rPr>
          <w:rFonts w:ascii="Times New Roman" w:hAnsi="Times New Roman" w:cs="Times New Roman"/>
          <w:iCs/>
          <w:sz w:val="20"/>
          <w:szCs w:val="20"/>
          <w:shd w:val="clear" w:color="auto" w:fill="FFFFFF"/>
          <w:lang w:val="ro-RO"/>
        </w:rPr>
        <w:t>Telefon</w:t>
      </w:r>
      <w:r w:rsidRPr="00CF19D1">
        <w:rPr>
          <w:rFonts w:ascii="Times New Roman" w:hAnsi="Times New Roman" w:cs="Times New Roman"/>
          <w:sz w:val="20"/>
          <w:szCs w:val="20"/>
          <w:shd w:val="clear" w:color="auto" w:fill="FFFFFF"/>
          <w:lang w:val="ro-RO"/>
        </w:rPr>
        <w:t>: +4021.314.34.00</w:t>
      </w:r>
    </w:p>
    <w:p w14:paraId="0D4EF18B" w14:textId="3B3BB8FD" w:rsidR="001C08EE" w:rsidRPr="00CF19D1" w:rsidRDefault="00996440" w:rsidP="00242567">
      <w:pPr>
        <w:jc w:val="both"/>
        <w:rPr>
          <w:rFonts w:ascii="Times New Roman" w:hAnsi="Times New Roman" w:cs="Times New Roman"/>
          <w:b/>
          <w:sz w:val="20"/>
          <w:szCs w:val="20"/>
          <w:lang w:val="ro-RO"/>
        </w:rPr>
      </w:pPr>
      <w:r w:rsidRPr="00CF19D1">
        <w:rPr>
          <w:rFonts w:ascii="Times New Roman" w:hAnsi="Times New Roman" w:cs="Times New Roman"/>
          <w:iCs/>
          <w:sz w:val="20"/>
          <w:szCs w:val="20"/>
          <w:shd w:val="clear" w:color="auto" w:fill="FFFFFF"/>
          <w:lang w:val="ro-RO"/>
        </w:rPr>
        <w:t>Website</w:t>
      </w:r>
      <w:r w:rsidRPr="00CF19D1">
        <w:rPr>
          <w:rFonts w:ascii="Times New Roman" w:hAnsi="Times New Roman" w:cs="Times New Roman"/>
          <w:sz w:val="20"/>
          <w:szCs w:val="20"/>
          <w:shd w:val="clear" w:color="auto" w:fill="FFFFFF"/>
          <w:lang w:val="ro-RO"/>
        </w:rPr>
        <w:t xml:space="preserve">: </w:t>
      </w:r>
      <w:hyperlink r:id="rId10" w:history="1">
        <w:r w:rsidRPr="00CF19D1">
          <w:rPr>
            <w:rStyle w:val="Hyperlink"/>
            <w:rFonts w:ascii="Times New Roman" w:hAnsi="Times New Roman" w:cs="Times New Roman"/>
            <w:sz w:val="20"/>
            <w:szCs w:val="20"/>
            <w:shd w:val="clear" w:color="auto" w:fill="FFFFFF"/>
            <w:lang w:val="ro-RO"/>
          </w:rPr>
          <w:t>http://www.gov.ro/</w:t>
        </w:r>
      </w:hyperlink>
      <w:r w:rsidRPr="00CF19D1">
        <w:rPr>
          <w:rFonts w:ascii="Times New Roman" w:hAnsi="Times New Roman" w:cs="Times New Roman"/>
          <w:sz w:val="20"/>
          <w:szCs w:val="20"/>
          <w:shd w:val="clear" w:color="auto" w:fill="FFFFFF"/>
          <w:lang w:val="ro-RO"/>
        </w:rPr>
        <w:t xml:space="preserve">, Facebook: </w:t>
      </w:r>
      <w:hyperlink r:id="rId11" w:history="1">
        <w:r w:rsidRPr="00CF19D1">
          <w:rPr>
            <w:rStyle w:val="Hyperlink"/>
            <w:rFonts w:ascii="Times New Roman" w:hAnsi="Times New Roman" w:cs="Times New Roman"/>
            <w:sz w:val="20"/>
            <w:szCs w:val="20"/>
            <w:shd w:val="clear" w:color="auto" w:fill="FFFFFF"/>
            <w:lang w:val="ro-RO"/>
          </w:rPr>
          <w:t>https://www.facebook.com/guv.ro</w:t>
        </w:r>
      </w:hyperlink>
    </w:p>
    <w:sectPr w:rsidR="001C08EE" w:rsidRPr="00CF19D1" w:rsidSect="0038335D">
      <w:pgSz w:w="11906" w:h="16838" w:code="9"/>
      <w:pgMar w:top="180" w:right="926"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3545" w14:textId="77777777" w:rsidR="00C65260" w:rsidRDefault="00C65260" w:rsidP="00675DC6">
      <w:r>
        <w:separator/>
      </w:r>
    </w:p>
  </w:endnote>
  <w:endnote w:type="continuationSeparator" w:id="0">
    <w:p w14:paraId="71B5C85E" w14:textId="77777777" w:rsidR="00C65260" w:rsidRDefault="00C65260" w:rsidP="006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761D" w14:textId="77777777" w:rsidR="00C65260" w:rsidRDefault="00C65260" w:rsidP="00675DC6">
      <w:r>
        <w:separator/>
      </w:r>
    </w:p>
  </w:footnote>
  <w:footnote w:type="continuationSeparator" w:id="0">
    <w:p w14:paraId="33DAAC8D" w14:textId="77777777" w:rsidR="00C65260" w:rsidRDefault="00C65260" w:rsidP="0067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F57"/>
    <w:multiLevelType w:val="hybridMultilevel"/>
    <w:tmpl w:val="4B4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C2288"/>
    <w:multiLevelType w:val="hybridMultilevel"/>
    <w:tmpl w:val="1368B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6286B"/>
    <w:multiLevelType w:val="hybridMultilevel"/>
    <w:tmpl w:val="9D0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5C53"/>
    <w:multiLevelType w:val="hybridMultilevel"/>
    <w:tmpl w:val="1B8ACBAA"/>
    <w:lvl w:ilvl="0" w:tplc="049AFC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41E3F"/>
    <w:multiLevelType w:val="hybridMultilevel"/>
    <w:tmpl w:val="6A2696FA"/>
    <w:lvl w:ilvl="0" w:tplc="58948780">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6AD"/>
    <w:multiLevelType w:val="hybridMultilevel"/>
    <w:tmpl w:val="4522A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A74A0"/>
    <w:multiLevelType w:val="hybridMultilevel"/>
    <w:tmpl w:val="BCA0C4AE"/>
    <w:lvl w:ilvl="0" w:tplc="422CF1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33C11"/>
    <w:multiLevelType w:val="hybridMultilevel"/>
    <w:tmpl w:val="9BA2FE16"/>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B7DDF"/>
    <w:multiLevelType w:val="hybridMultilevel"/>
    <w:tmpl w:val="5A9EF76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E3030"/>
    <w:multiLevelType w:val="hybridMultilevel"/>
    <w:tmpl w:val="4EBCDAD8"/>
    <w:lvl w:ilvl="0" w:tplc="164E0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E2207"/>
    <w:multiLevelType w:val="hybridMultilevel"/>
    <w:tmpl w:val="5A9EF76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065B4"/>
    <w:multiLevelType w:val="hybridMultilevel"/>
    <w:tmpl w:val="CC4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22917"/>
    <w:multiLevelType w:val="hybridMultilevel"/>
    <w:tmpl w:val="262E01D4"/>
    <w:lvl w:ilvl="0" w:tplc="049AFC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E3E54"/>
    <w:multiLevelType w:val="hybridMultilevel"/>
    <w:tmpl w:val="9BA2FE16"/>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41844"/>
    <w:multiLevelType w:val="hybridMultilevel"/>
    <w:tmpl w:val="262E01D4"/>
    <w:lvl w:ilvl="0" w:tplc="049AFC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04ECC"/>
    <w:multiLevelType w:val="hybridMultilevel"/>
    <w:tmpl w:val="2674904C"/>
    <w:lvl w:ilvl="0" w:tplc="D304D8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62F7D"/>
    <w:multiLevelType w:val="hybridMultilevel"/>
    <w:tmpl w:val="6E40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20F8E"/>
    <w:multiLevelType w:val="hybridMultilevel"/>
    <w:tmpl w:val="011E1F2E"/>
    <w:lvl w:ilvl="0" w:tplc="E0720B22">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4A18C7"/>
    <w:multiLevelType w:val="hybridMultilevel"/>
    <w:tmpl w:val="A1C24062"/>
    <w:lvl w:ilvl="0" w:tplc="F63635B4">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B4CDC"/>
    <w:multiLevelType w:val="hybridMultilevel"/>
    <w:tmpl w:val="8AD6A5BC"/>
    <w:lvl w:ilvl="0" w:tplc="A14ED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9E8"/>
    <w:multiLevelType w:val="hybridMultilevel"/>
    <w:tmpl w:val="17C6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14DF0"/>
    <w:multiLevelType w:val="hybridMultilevel"/>
    <w:tmpl w:val="3A2C0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02456"/>
    <w:multiLevelType w:val="hybridMultilevel"/>
    <w:tmpl w:val="85DCB97E"/>
    <w:lvl w:ilvl="0" w:tplc="E0720B2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C20C6"/>
    <w:multiLevelType w:val="hybridMultilevel"/>
    <w:tmpl w:val="EC48097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611E18"/>
    <w:multiLevelType w:val="hybridMultilevel"/>
    <w:tmpl w:val="8C60A3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44E6F"/>
    <w:multiLevelType w:val="hybridMultilevel"/>
    <w:tmpl w:val="75FE2964"/>
    <w:lvl w:ilvl="0" w:tplc="EC78555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160EB"/>
    <w:multiLevelType w:val="hybridMultilevel"/>
    <w:tmpl w:val="A6E88FAE"/>
    <w:lvl w:ilvl="0" w:tplc="A5563F6E">
      <w:start w:val="1"/>
      <w:numFmt w:val="decimal"/>
      <w:lvlText w:val="%1."/>
      <w:lvlJc w:val="left"/>
      <w:pPr>
        <w:ind w:left="720" w:hanging="360"/>
      </w:pPr>
      <w:rPr>
        <w:rFonts w:ascii="TimesNewRoman" w:hAnsi="TimesNewRoman" w:cs="TimesNew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41CAA"/>
    <w:multiLevelType w:val="hybridMultilevel"/>
    <w:tmpl w:val="13BA1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F0157"/>
    <w:multiLevelType w:val="hybridMultilevel"/>
    <w:tmpl w:val="F81E2C08"/>
    <w:lvl w:ilvl="0" w:tplc="FFFFFFFF">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F0C8A"/>
    <w:multiLevelType w:val="hybridMultilevel"/>
    <w:tmpl w:val="8F9E0EB6"/>
    <w:lvl w:ilvl="0" w:tplc="11A07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546B7"/>
    <w:multiLevelType w:val="hybridMultilevel"/>
    <w:tmpl w:val="048CE90E"/>
    <w:lvl w:ilvl="0" w:tplc="70920D4E">
      <w:start w:val="1"/>
      <w:numFmt w:val="decimal"/>
      <w:lvlText w:val="%1."/>
      <w:lvlJc w:val="left"/>
      <w:pPr>
        <w:ind w:left="810" w:hanging="360"/>
      </w:pPr>
      <w:rPr>
        <w:rFonts w:ascii="TimesNewRoman" w:hAnsi="TimesNewRoman" w:cs="TimesNewRoman" w:hint="default"/>
        <w:b w:val="0"/>
        <w:color w:val="000000"/>
        <w:sz w:val="27"/>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2192A33"/>
    <w:multiLevelType w:val="hybridMultilevel"/>
    <w:tmpl w:val="2830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02F"/>
    <w:multiLevelType w:val="hybridMultilevel"/>
    <w:tmpl w:val="3DDA3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6D2F16"/>
    <w:multiLevelType w:val="hybridMultilevel"/>
    <w:tmpl w:val="9BA2FE16"/>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10301"/>
    <w:multiLevelType w:val="hybridMultilevel"/>
    <w:tmpl w:val="1B8ACBAA"/>
    <w:lvl w:ilvl="0" w:tplc="049AFCF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243249"/>
    <w:multiLevelType w:val="hybridMultilevel"/>
    <w:tmpl w:val="262E01D4"/>
    <w:lvl w:ilvl="0" w:tplc="049AFC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D789B"/>
    <w:multiLevelType w:val="hybridMultilevel"/>
    <w:tmpl w:val="69F6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9E2FBD"/>
    <w:multiLevelType w:val="hybridMultilevel"/>
    <w:tmpl w:val="262E01D4"/>
    <w:lvl w:ilvl="0" w:tplc="049AFC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A136C"/>
    <w:multiLevelType w:val="hybridMultilevel"/>
    <w:tmpl w:val="4464402C"/>
    <w:lvl w:ilvl="0" w:tplc="2B7E06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C62C5"/>
    <w:multiLevelType w:val="multilevel"/>
    <w:tmpl w:val="C26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5519B"/>
    <w:multiLevelType w:val="hybridMultilevel"/>
    <w:tmpl w:val="66765A7E"/>
    <w:lvl w:ilvl="0" w:tplc="0C4CFC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9"/>
  </w:num>
  <w:num w:numId="4">
    <w:abstractNumId w:val="13"/>
  </w:num>
  <w:num w:numId="5">
    <w:abstractNumId w:val="3"/>
  </w:num>
  <w:num w:numId="6">
    <w:abstractNumId w:val="33"/>
  </w:num>
  <w:num w:numId="7">
    <w:abstractNumId w:val="16"/>
  </w:num>
  <w:num w:numId="8">
    <w:abstractNumId w:val="5"/>
  </w:num>
  <w:num w:numId="9">
    <w:abstractNumId w:val="0"/>
  </w:num>
  <w:num w:numId="10">
    <w:abstractNumId w:val="6"/>
  </w:num>
  <w:num w:numId="11">
    <w:abstractNumId w:val="10"/>
  </w:num>
  <w:num w:numId="12">
    <w:abstractNumId w:val="34"/>
  </w:num>
  <w:num w:numId="13">
    <w:abstractNumId w:val="4"/>
  </w:num>
  <w:num w:numId="14">
    <w:abstractNumId w:val="20"/>
  </w:num>
  <w:num w:numId="15">
    <w:abstractNumId w:val="2"/>
  </w:num>
  <w:num w:numId="16">
    <w:abstractNumId w:val="36"/>
  </w:num>
  <w:num w:numId="17">
    <w:abstractNumId w:val="27"/>
  </w:num>
  <w:num w:numId="18">
    <w:abstractNumId w:val="28"/>
  </w:num>
  <w:num w:numId="19">
    <w:abstractNumId w:val="22"/>
  </w:num>
  <w:num w:numId="20">
    <w:abstractNumId w:val="23"/>
  </w:num>
  <w:num w:numId="21">
    <w:abstractNumId w:val="1"/>
  </w:num>
  <w:num w:numId="22">
    <w:abstractNumId w:val="15"/>
  </w:num>
  <w:num w:numId="23">
    <w:abstractNumId w:val="21"/>
  </w:num>
  <w:num w:numId="24">
    <w:abstractNumId w:val="17"/>
  </w:num>
  <w:num w:numId="25">
    <w:abstractNumId w:val="24"/>
  </w:num>
  <w:num w:numId="26">
    <w:abstractNumId w:val="32"/>
  </w:num>
  <w:num w:numId="27">
    <w:abstractNumId w:val="8"/>
  </w:num>
  <w:num w:numId="28">
    <w:abstractNumId w:val="37"/>
  </w:num>
  <w:num w:numId="29">
    <w:abstractNumId w:val="19"/>
  </w:num>
  <w:num w:numId="30">
    <w:abstractNumId w:val="29"/>
  </w:num>
  <w:num w:numId="31">
    <w:abstractNumId w:val="30"/>
  </w:num>
  <w:num w:numId="32">
    <w:abstractNumId w:val="31"/>
  </w:num>
  <w:num w:numId="33">
    <w:abstractNumId w:val="7"/>
  </w:num>
  <w:num w:numId="34">
    <w:abstractNumId w:val="12"/>
  </w:num>
  <w:num w:numId="35">
    <w:abstractNumId w:val="14"/>
  </w:num>
  <w:num w:numId="36">
    <w:abstractNumId w:val="35"/>
  </w:num>
  <w:num w:numId="37">
    <w:abstractNumId w:val="11"/>
  </w:num>
  <w:num w:numId="38">
    <w:abstractNumId w:val="40"/>
  </w:num>
  <w:num w:numId="39">
    <w:abstractNumId w:val="39"/>
  </w:num>
  <w:num w:numId="40">
    <w:abstractNumId w:val="25"/>
  </w:num>
  <w:num w:numId="4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EA"/>
    <w:rsid w:val="00001B6E"/>
    <w:rsid w:val="000031E6"/>
    <w:rsid w:val="00004174"/>
    <w:rsid w:val="00004580"/>
    <w:rsid w:val="00007DE4"/>
    <w:rsid w:val="000103EC"/>
    <w:rsid w:val="000105D0"/>
    <w:rsid w:val="0001082F"/>
    <w:rsid w:val="000120DB"/>
    <w:rsid w:val="0001415B"/>
    <w:rsid w:val="000144E0"/>
    <w:rsid w:val="00014D7C"/>
    <w:rsid w:val="00014EB0"/>
    <w:rsid w:val="000165B2"/>
    <w:rsid w:val="000210C7"/>
    <w:rsid w:val="00021C42"/>
    <w:rsid w:val="00023817"/>
    <w:rsid w:val="00023B13"/>
    <w:rsid w:val="000261EF"/>
    <w:rsid w:val="00026EEA"/>
    <w:rsid w:val="00030914"/>
    <w:rsid w:val="00031913"/>
    <w:rsid w:val="00032FEB"/>
    <w:rsid w:val="00033149"/>
    <w:rsid w:val="00033F1F"/>
    <w:rsid w:val="00034905"/>
    <w:rsid w:val="00034A2E"/>
    <w:rsid w:val="00035E5C"/>
    <w:rsid w:val="0003643F"/>
    <w:rsid w:val="00036992"/>
    <w:rsid w:val="00036E47"/>
    <w:rsid w:val="00037865"/>
    <w:rsid w:val="00037A43"/>
    <w:rsid w:val="00037C24"/>
    <w:rsid w:val="000434F9"/>
    <w:rsid w:val="00043685"/>
    <w:rsid w:val="00044759"/>
    <w:rsid w:val="00044821"/>
    <w:rsid w:val="00045EC8"/>
    <w:rsid w:val="000474D0"/>
    <w:rsid w:val="000478B6"/>
    <w:rsid w:val="00051137"/>
    <w:rsid w:val="0005212C"/>
    <w:rsid w:val="000521A5"/>
    <w:rsid w:val="00052580"/>
    <w:rsid w:val="0005377B"/>
    <w:rsid w:val="00053B4D"/>
    <w:rsid w:val="0005409F"/>
    <w:rsid w:val="00054C4D"/>
    <w:rsid w:val="00055582"/>
    <w:rsid w:val="00056156"/>
    <w:rsid w:val="00061048"/>
    <w:rsid w:val="0006256B"/>
    <w:rsid w:val="00063E9B"/>
    <w:rsid w:val="00064AC0"/>
    <w:rsid w:val="0006553B"/>
    <w:rsid w:val="0006640D"/>
    <w:rsid w:val="00071128"/>
    <w:rsid w:val="00072233"/>
    <w:rsid w:val="00080D54"/>
    <w:rsid w:val="00090387"/>
    <w:rsid w:val="0009046A"/>
    <w:rsid w:val="00092160"/>
    <w:rsid w:val="0009284A"/>
    <w:rsid w:val="000930CF"/>
    <w:rsid w:val="00093784"/>
    <w:rsid w:val="00094057"/>
    <w:rsid w:val="0009408D"/>
    <w:rsid w:val="0009454C"/>
    <w:rsid w:val="00094F74"/>
    <w:rsid w:val="00095AD5"/>
    <w:rsid w:val="000977AE"/>
    <w:rsid w:val="00097DC8"/>
    <w:rsid w:val="000A0A1B"/>
    <w:rsid w:val="000A1633"/>
    <w:rsid w:val="000A1AA7"/>
    <w:rsid w:val="000A2026"/>
    <w:rsid w:val="000A31C2"/>
    <w:rsid w:val="000A40A0"/>
    <w:rsid w:val="000A590A"/>
    <w:rsid w:val="000A5A81"/>
    <w:rsid w:val="000A60FA"/>
    <w:rsid w:val="000A6A93"/>
    <w:rsid w:val="000A7AE1"/>
    <w:rsid w:val="000B0284"/>
    <w:rsid w:val="000B0CE8"/>
    <w:rsid w:val="000B0F4E"/>
    <w:rsid w:val="000B200B"/>
    <w:rsid w:val="000B231B"/>
    <w:rsid w:val="000B23F3"/>
    <w:rsid w:val="000B3BA5"/>
    <w:rsid w:val="000B537E"/>
    <w:rsid w:val="000B683B"/>
    <w:rsid w:val="000B7914"/>
    <w:rsid w:val="000B7CF8"/>
    <w:rsid w:val="000C186E"/>
    <w:rsid w:val="000C39E0"/>
    <w:rsid w:val="000C430C"/>
    <w:rsid w:val="000D0045"/>
    <w:rsid w:val="000D089D"/>
    <w:rsid w:val="000D1029"/>
    <w:rsid w:val="000D27C2"/>
    <w:rsid w:val="000D2972"/>
    <w:rsid w:val="000D30C7"/>
    <w:rsid w:val="000D4303"/>
    <w:rsid w:val="000D582F"/>
    <w:rsid w:val="000E0A0C"/>
    <w:rsid w:val="000E0EEB"/>
    <w:rsid w:val="000E12CD"/>
    <w:rsid w:val="000E2337"/>
    <w:rsid w:val="000E2A43"/>
    <w:rsid w:val="000E457F"/>
    <w:rsid w:val="000E4FB0"/>
    <w:rsid w:val="000E63E2"/>
    <w:rsid w:val="000E750F"/>
    <w:rsid w:val="000F1568"/>
    <w:rsid w:val="000F213B"/>
    <w:rsid w:val="000F2AC4"/>
    <w:rsid w:val="000F4AF7"/>
    <w:rsid w:val="000F7476"/>
    <w:rsid w:val="000F7E26"/>
    <w:rsid w:val="001000A0"/>
    <w:rsid w:val="001000E7"/>
    <w:rsid w:val="00101A5A"/>
    <w:rsid w:val="00101F9B"/>
    <w:rsid w:val="0010324E"/>
    <w:rsid w:val="00103AAB"/>
    <w:rsid w:val="00103C8F"/>
    <w:rsid w:val="00103D34"/>
    <w:rsid w:val="001043CC"/>
    <w:rsid w:val="00104A17"/>
    <w:rsid w:val="00105D4D"/>
    <w:rsid w:val="00107D81"/>
    <w:rsid w:val="00110388"/>
    <w:rsid w:val="00112518"/>
    <w:rsid w:val="00112CAF"/>
    <w:rsid w:val="00114D9C"/>
    <w:rsid w:val="00114EAE"/>
    <w:rsid w:val="00115261"/>
    <w:rsid w:val="00115B02"/>
    <w:rsid w:val="001163A6"/>
    <w:rsid w:val="00117F4E"/>
    <w:rsid w:val="00121AA2"/>
    <w:rsid w:val="001220D6"/>
    <w:rsid w:val="001238FF"/>
    <w:rsid w:val="001242DA"/>
    <w:rsid w:val="001243C9"/>
    <w:rsid w:val="001244AE"/>
    <w:rsid w:val="00125A31"/>
    <w:rsid w:val="001270DC"/>
    <w:rsid w:val="00127392"/>
    <w:rsid w:val="00127847"/>
    <w:rsid w:val="00131281"/>
    <w:rsid w:val="00131283"/>
    <w:rsid w:val="0013178D"/>
    <w:rsid w:val="00131D1F"/>
    <w:rsid w:val="001327D0"/>
    <w:rsid w:val="00132839"/>
    <w:rsid w:val="001328CA"/>
    <w:rsid w:val="001335DF"/>
    <w:rsid w:val="00133956"/>
    <w:rsid w:val="00135514"/>
    <w:rsid w:val="00136C60"/>
    <w:rsid w:val="00136DFF"/>
    <w:rsid w:val="00137254"/>
    <w:rsid w:val="001404F8"/>
    <w:rsid w:val="0014167F"/>
    <w:rsid w:val="00141E29"/>
    <w:rsid w:val="00142F85"/>
    <w:rsid w:val="00143D01"/>
    <w:rsid w:val="00143FBE"/>
    <w:rsid w:val="001445A7"/>
    <w:rsid w:val="00144B9A"/>
    <w:rsid w:val="001452AF"/>
    <w:rsid w:val="001459D2"/>
    <w:rsid w:val="00145CD9"/>
    <w:rsid w:val="001463C9"/>
    <w:rsid w:val="00146571"/>
    <w:rsid w:val="00147A22"/>
    <w:rsid w:val="00147EFE"/>
    <w:rsid w:val="00147FBD"/>
    <w:rsid w:val="001503E2"/>
    <w:rsid w:val="0015100E"/>
    <w:rsid w:val="00151603"/>
    <w:rsid w:val="00151764"/>
    <w:rsid w:val="00151A8D"/>
    <w:rsid w:val="00152633"/>
    <w:rsid w:val="001541A0"/>
    <w:rsid w:val="0015537B"/>
    <w:rsid w:val="00155996"/>
    <w:rsid w:val="00157CED"/>
    <w:rsid w:val="00161CD5"/>
    <w:rsid w:val="00163F69"/>
    <w:rsid w:val="0016407D"/>
    <w:rsid w:val="0016458C"/>
    <w:rsid w:val="001653EE"/>
    <w:rsid w:val="00166F3A"/>
    <w:rsid w:val="0016797B"/>
    <w:rsid w:val="00167F12"/>
    <w:rsid w:val="0017032A"/>
    <w:rsid w:val="00170D91"/>
    <w:rsid w:val="0017166C"/>
    <w:rsid w:val="00171CFA"/>
    <w:rsid w:val="00171EB9"/>
    <w:rsid w:val="00174066"/>
    <w:rsid w:val="00174295"/>
    <w:rsid w:val="00174623"/>
    <w:rsid w:val="001758B3"/>
    <w:rsid w:val="00175B70"/>
    <w:rsid w:val="001774EF"/>
    <w:rsid w:val="001802B2"/>
    <w:rsid w:val="00180E45"/>
    <w:rsid w:val="0018169A"/>
    <w:rsid w:val="0018179F"/>
    <w:rsid w:val="001817EC"/>
    <w:rsid w:val="00181ABA"/>
    <w:rsid w:val="00184127"/>
    <w:rsid w:val="00185361"/>
    <w:rsid w:val="00186DB2"/>
    <w:rsid w:val="00187D73"/>
    <w:rsid w:val="0019060B"/>
    <w:rsid w:val="00190EB6"/>
    <w:rsid w:val="00191475"/>
    <w:rsid w:val="001918F9"/>
    <w:rsid w:val="00192299"/>
    <w:rsid w:val="00193569"/>
    <w:rsid w:val="0019402A"/>
    <w:rsid w:val="00194869"/>
    <w:rsid w:val="00194CB1"/>
    <w:rsid w:val="00194DF9"/>
    <w:rsid w:val="00195DB6"/>
    <w:rsid w:val="00197527"/>
    <w:rsid w:val="001A0D77"/>
    <w:rsid w:val="001A3620"/>
    <w:rsid w:val="001A3A41"/>
    <w:rsid w:val="001A4955"/>
    <w:rsid w:val="001A4B0F"/>
    <w:rsid w:val="001A6A01"/>
    <w:rsid w:val="001A6E02"/>
    <w:rsid w:val="001A736B"/>
    <w:rsid w:val="001A79D1"/>
    <w:rsid w:val="001B03F5"/>
    <w:rsid w:val="001B0588"/>
    <w:rsid w:val="001B0B56"/>
    <w:rsid w:val="001B19ED"/>
    <w:rsid w:val="001B3471"/>
    <w:rsid w:val="001B38A4"/>
    <w:rsid w:val="001B3E6B"/>
    <w:rsid w:val="001B542F"/>
    <w:rsid w:val="001B5769"/>
    <w:rsid w:val="001B5856"/>
    <w:rsid w:val="001B6830"/>
    <w:rsid w:val="001B76B0"/>
    <w:rsid w:val="001C08EE"/>
    <w:rsid w:val="001C188C"/>
    <w:rsid w:val="001C44A3"/>
    <w:rsid w:val="001C4809"/>
    <w:rsid w:val="001C5407"/>
    <w:rsid w:val="001C5414"/>
    <w:rsid w:val="001C6176"/>
    <w:rsid w:val="001C70A5"/>
    <w:rsid w:val="001C7AEB"/>
    <w:rsid w:val="001C7E76"/>
    <w:rsid w:val="001D19BF"/>
    <w:rsid w:val="001D3E47"/>
    <w:rsid w:val="001D5EA9"/>
    <w:rsid w:val="001D66E9"/>
    <w:rsid w:val="001D6D82"/>
    <w:rsid w:val="001E3724"/>
    <w:rsid w:val="001E3BCB"/>
    <w:rsid w:val="001E5518"/>
    <w:rsid w:val="001E78E8"/>
    <w:rsid w:val="001E7BC2"/>
    <w:rsid w:val="001F01D4"/>
    <w:rsid w:val="001F0C87"/>
    <w:rsid w:val="001F0D4C"/>
    <w:rsid w:val="001F1D69"/>
    <w:rsid w:val="001F25FF"/>
    <w:rsid w:val="001F296C"/>
    <w:rsid w:val="001F2A81"/>
    <w:rsid w:val="001F3850"/>
    <w:rsid w:val="001F3F2D"/>
    <w:rsid w:val="001F6487"/>
    <w:rsid w:val="001F65D0"/>
    <w:rsid w:val="001F6F7E"/>
    <w:rsid w:val="001F73D6"/>
    <w:rsid w:val="001F7720"/>
    <w:rsid w:val="001F7D9B"/>
    <w:rsid w:val="00200175"/>
    <w:rsid w:val="0020049C"/>
    <w:rsid w:val="00202DD8"/>
    <w:rsid w:val="00204F9C"/>
    <w:rsid w:val="00206A29"/>
    <w:rsid w:val="002078AB"/>
    <w:rsid w:val="00207C4D"/>
    <w:rsid w:val="0021001A"/>
    <w:rsid w:val="002118A3"/>
    <w:rsid w:val="00212891"/>
    <w:rsid w:val="00213B9C"/>
    <w:rsid w:val="00214460"/>
    <w:rsid w:val="0021514E"/>
    <w:rsid w:val="002156E2"/>
    <w:rsid w:val="00215A2B"/>
    <w:rsid w:val="00215D20"/>
    <w:rsid w:val="0021703A"/>
    <w:rsid w:val="00217391"/>
    <w:rsid w:val="0022128F"/>
    <w:rsid w:val="0022148B"/>
    <w:rsid w:val="00223C0A"/>
    <w:rsid w:val="00224179"/>
    <w:rsid w:val="002241BF"/>
    <w:rsid w:val="00224947"/>
    <w:rsid w:val="0022553D"/>
    <w:rsid w:val="00225709"/>
    <w:rsid w:val="00227B9E"/>
    <w:rsid w:val="00227E95"/>
    <w:rsid w:val="0023006C"/>
    <w:rsid w:val="00230574"/>
    <w:rsid w:val="0023085C"/>
    <w:rsid w:val="00230EEB"/>
    <w:rsid w:val="00231588"/>
    <w:rsid w:val="002334F6"/>
    <w:rsid w:val="002339F6"/>
    <w:rsid w:val="00236353"/>
    <w:rsid w:val="0023660D"/>
    <w:rsid w:val="00236F29"/>
    <w:rsid w:val="0024024E"/>
    <w:rsid w:val="00240320"/>
    <w:rsid w:val="002403F5"/>
    <w:rsid w:val="002406BB"/>
    <w:rsid w:val="00241414"/>
    <w:rsid w:val="00241EAF"/>
    <w:rsid w:val="00241F02"/>
    <w:rsid w:val="00242567"/>
    <w:rsid w:val="00243655"/>
    <w:rsid w:val="00243C3D"/>
    <w:rsid w:val="00245B14"/>
    <w:rsid w:val="00245E36"/>
    <w:rsid w:val="00250A1D"/>
    <w:rsid w:val="00251E3C"/>
    <w:rsid w:val="002550AC"/>
    <w:rsid w:val="002552C3"/>
    <w:rsid w:val="00256510"/>
    <w:rsid w:val="00260AE4"/>
    <w:rsid w:val="00262925"/>
    <w:rsid w:val="00262FF3"/>
    <w:rsid w:val="0026325B"/>
    <w:rsid w:val="002647EE"/>
    <w:rsid w:val="00265108"/>
    <w:rsid w:val="0026566E"/>
    <w:rsid w:val="00266DDD"/>
    <w:rsid w:val="00267698"/>
    <w:rsid w:val="00267E25"/>
    <w:rsid w:val="00270C4D"/>
    <w:rsid w:val="002717CB"/>
    <w:rsid w:val="00271A31"/>
    <w:rsid w:val="00271EBF"/>
    <w:rsid w:val="002735B2"/>
    <w:rsid w:val="00273874"/>
    <w:rsid w:val="00273C11"/>
    <w:rsid w:val="00273CC4"/>
    <w:rsid w:val="00274118"/>
    <w:rsid w:val="00274BDD"/>
    <w:rsid w:val="00275254"/>
    <w:rsid w:val="00275A48"/>
    <w:rsid w:val="002763CB"/>
    <w:rsid w:val="00277082"/>
    <w:rsid w:val="002771B9"/>
    <w:rsid w:val="002807E2"/>
    <w:rsid w:val="0028204A"/>
    <w:rsid w:val="0028263C"/>
    <w:rsid w:val="002839A2"/>
    <w:rsid w:val="00285568"/>
    <w:rsid w:val="002901DE"/>
    <w:rsid w:val="002906F4"/>
    <w:rsid w:val="002908C4"/>
    <w:rsid w:val="00290FD5"/>
    <w:rsid w:val="00291D66"/>
    <w:rsid w:val="002921E4"/>
    <w:rsid w:val="0029254B"/>
    <w:rsid w:val="002946C6"/>
    <w:rsid w:val="00295245"/>
    <w:rsid w:val="00295400"/>
    <w:rsid w:val="00295684"/>
    <w:rsid w:val="00295BCE"/>
    <w:rsid w:val="00297C05"/>
    <w:rsid w:val="002A0374"/>
    <w:rsid w:val="002A0885"/>
    <w:rsid w:val="002A0979"/>
    <w:rsid w:val="002A1398"/>
    <w:rsid w:val="002A35E4"/>
    <w:rsid w:val="002A3889"/>
    <w:rsid w:val="002A586D"/>
    <w:rsid w:val="002A632E"/>
    <w:rsid w:val="002A68C4"/>
    <w:rsid w:val="002A6BE4"/>
    <w:rsid w:val="002B0038"/>
    <w:rsid w:val="002B0B72"/>
    <w:rsid w:val="002B231E"/>
    <w:rsid w:val="002B3294"/>
    <w:rsid w:val="002B38F6"/>
    <w:rsid w:val="002B5A31"/>
    <w:rsid w:val="002B6B8A"/>
    <w:rsid w:val="002B736B"/>
    <w:rsid w:val="002C02FA"/>
    <w:rsid w:val="002C1839"/>
    <w:rsid w:val="002C1A6B"/>
    <w:rsid w:val="002C1DA0"/>
    <w:rsid w:val="002C1DEF"/>
    <w:rsid w:val="002C2FA9"/>
    <w:rsid w:val="002C31A0"/>
    <w:rsid w:val="002C4B24"/>
    <w:rsid w:val="002C5C3B"/>
    <w:rsid w:val="002C69D9"/>
    <w:rsid w:val="002C7D8B"/>
    <w:rsid w:val="002C7FFA"/>
    <w:rsid w:val="002D09CE"/>
    <w:rsid w:val="002D1072"/>
    <w:rsid w:val="002D1790"/>
    <w:rsid w:val="002D300B"/>
    <w:rsid w:val="002D4100"/>
    <w:rsid w:val="002D41BA"/>
    <w:rsid w:val="002D7D4A"/>
    <w:rsid w:val="002D7FED"/>
    <w:rsid w:val="002E1688"/>
    <w:rsid w:val="002E18D6"/>
    <w:rsid w:val="002E24EB"/>
    <w:rsid w:val="002E31F8"/>
    <w:rsid w:val="002E3671"/>
    <w:rsid w:val="002E3682"/>
    <w:rsid w:val="002E45B8"/>
    <w:rsid w:val="002E4A03"/>
    <w:rsid w:val="002E5E43"/>
    <w:rsid w:val="002E69ED"/>
    <w:rsid w:val="002E6C1A"/>
    <w:rsid w:val="002E7A9A"/>
    <w:rsid w:val="002F04CA"/>
    <w:rsid w:val="002F0F89"/>
    <w:rsid w:val="002F1259"/>
    <w:rsid w:val="002F366B"/>
    <w:rsid w:val="002F3A96"/>
    <w:rsid w:val="002F3BCC"/>
    <w:rsid w:val="002F4F2A"/>
    <w:rsid w:val="002F559E"/>
    <w:rsid w:val="002F6A1C"/>
    <w:rsid w:val="003004A4"/>
    <w:rsid w:val="003017DA"/>
    <w:rsid w:val="00301FBB"/>
    <w:rsid w:val="00302BC8"/>
    <w:rsid w:val="00304D03"/>
    <w:rsid w:val="003051F2"/>
    <w:rsid w:val="00306A5B"/>
    <w:rsid w:val="00306AE4"/>
    <w:rsid w:val="00310269"/>
    <w:rsid w:val="00310C9C"/>
    <w:rsid w:val="0031221E"/>
    <w:rsid w:val="00312BB5"/>
    <w:rsid w:val="003142A8"/>
    <w:rsid w:val="00315CF7"/>
    <w:rsid w:val="003174DF"/>
    <w:rsid w:val="00317DF2"/>
    <w:rsid w:val="0032051C"/>
    <w:rsid w:val="00321313"/>
    <w:rsid w:val="0032196C"/>
    <w:rsid w:val="00322108"/>
    <w:rsid w:val="00325B80"/>
    <w:rsid w:val="003269A9"/>
    <w:rsid w:val="00330367"/>
    <w:rsid w:val="00333184"/>
    <w:rsid w:val="00335AB2"/>
    <w:rsid w:val="00335C0D"/>
    <w:rsid w:val="00336407"/>
    <w:rsid w:val="00336C36"/>
    <w:rsid w:val="0033771C"/>
    <w:rsid w:val="00337D06"/>
    <w:rsid w:val="00342244"/>
    <w:rsid w:val="00342A8A"/>
    <w:rsid w:val="00344075"/>
    <w:rsid w:val="00344595"/>
    <w:rsid w:val="00344BF4"/>
    <w:rsid w:val="00345282"/>
    <w:rsid w:val="0034632A"/>
    <w:rsid w:val="003468DE"/>
    <w:rsid w:val="00346E9A"/>
    <w:rsid w:val="0035197C"/>
    <w:rsid w:val="00351A12"/>
    <w:rsid w:val="00354466"/>
    <w:rsid w:val="00356AA5"/>
    <w:rsid w:val="0035784F"/>
    <w:rsid w:val="003621AD"/>
    <w:rsid w:val="003629F8"/>
    <w:rsid w:val="00362C38"/>
    <w:rsid w:val="00364FDC"/>
    <w:rsid w:val="00365E3B"/>
    <w:rsid w:val="00366050"/>
    <w:rsid w:val="0036663E"/>
    <w:rsid w:val="0037036C"/>
    <w:rsid w:val="00371424"/>
    <w:rsid w:val="00371BB4"/>
    <w:rsid w:val="003720DC"/>
    <w:rsid w:val="00372F9A"/>
    <w:rsid w:val="00373D50"/>
    <w:rsid w:val="00375834"/>
    <w:rsid w:val="00375978"/>
    <w:rsid w:val="00375A70"/>
    <w:rsid w:val="0037666D"/>
    <w:rsid w:val="00376F1F"/>
    <w:rsid w:val="00377017"/>
    <w:rsid w:val="00381CF7"/>
    <w:rsid w:val="0038335D"/>
    <w:rsid w:val="00383BD6"/>
    <w:rsid w:val="00384C9C"/>
    <w:rsid w:val="00384CAC"/>
    <w:rsid w:val="003852F9"/>
    <w:rsid w:val="00385FED"/>
    <w:rsid w:val="00387D86"/>
    <w:rsid w:val="00390907"/>
    <w:rsid w:val="003918FC"/>
    <w:rsid w:val="00391F65"/>
    <w:rsid w:val="00392FF9"/>
    <w:rsid w:val="00393FDB"/>
    <w:rsid w:val="00393FF0"/>
    <w:rsid w:val="003943D9"/>
    <w:rsid w:val="00394AF6"/>
    <w:rsid w:val="003964CF"/>
    <w:rsid w:val="00397812"/>
    <w:rsid w:val="003A0CBF"/>
    <w:rsid w:val="003A102A"/>
    <w:rsid w:val="003A3514"/>
    <w:rsid w:val="003A35B4"/>
    <w:rsid w:val="003A3CAB"/>
    <w:rsid w:val="003A3E67"/>
    <w:rsid w:val="003A5140"/>
    <w:rsid w:val="003A64C1"/>
    <w:rsid w:val="003A67F6"/>
    <w:rsid w:val="003A714D"/>
    <w:rsid w:val="003A7943"/>
    <w:rsid w:val="003A79EB"/>
    <w:rsid w:val="003B02ED"/>
    <w:rsid w:val="003B1A28"/>
    <w:rsid w:val="003B202F"/>
    <w:rsid w:val="003B22B2"/>
    <w:rsid w:val="003B2369"/>
    <w:rsid w:val="003B2747"/>
    <w:rsid w:val="003B37E6"/>
    <w:rsid w:val="003B499A"/>
    <w:rsid w:val="003B4FB3"/>
    <w:rsid w:val="003B5649"/>
    <w:rsid w:val="003B5B02"/>
    <w:rsid w:val="003B5B12"/>
    <w:rsid w:val="003B7CA3"/>
    <w:rsid w:val="003C0125"/>
    <w:rsid w:val="003C05A7"/>
    <w:rsid w:val="003C0C25"/>
    <w:rsid w:val="003C0C5A"/>
    <w:rsid w:val="003C17C3"/>
    <w:rsid w:val="003C26D2"/>
    <w:rsid w:val="003C3E93"/>
    <w:rsid w:val="003C4E0A"/>
    <w:rsid w:val="003D1186"/>
    <w:rsid w:val="003D202E"/>
    <w:rsid w:val="003D24F5"/>
    <w:rsid w:val="003D43D0"/>
    <w:rsid w:val="003D4499"/>
    <w:rsid w:val="003D542B"/>
    <w:rsid w:val="003D65A7"/>
    <w:rsid w:val="003D6947"/>
    <w:rsid w:val="003D778D"/>
    <w:rsid w:val="003E1E41"/>
    <w:rsid w:val="003E221E"/>
    <w:rsid w:val="003E2660"/>
    <w:rsid w:val="003E27C5"/>
    <w:rsid w:val="003E3831"/>
    <w:rsid w:val="003E6B89"/>
    <w:rsid w:val="003E74B7"/>
    <w:rsid w:val="003E75FF"/>
    <w:rsid w:val="003F017D"/>
    <w:rsid w:val="003F110A"/>
    <w:rsid w:val="003F13B0"/>
    <w:rsid w:val="003F2577"/>
    <w:rsid w:val="003F58C1"/>
    <w:rsid w:val="003F5DEF"/>
    <w:rsid w:val="003F69B3"/>
    <w:rsid w:val="003F7034"/>
    <w:rsid w:val="003F789D"/>
    <w:rsid w:val="003F7C7F"/>
    <w:rsid w:val="003F7F9F"/>
    <w:rsid w:val="004007FE"/>
    <w:rsid w:val="004017E7"/>
    <w:rsid w:val="00401EA2"/>
    <w:rsid w:val="0040223B"/>
    <w:rsid w:val="00402A63"/>
    <w:rsid w:val="00403451"/>
    <w:rsid w:val="00403B1C"/>
    <w:rsid w:val="00404FC9"/>
    <w:rsid w:val="0040541E"/>
    <w:rsid w:val="00405992"/>
    <w:rsid w:val="004073E3"/>
    <w:rsid w:val="00410873"/>
    <w:rsid w:val="00410D9D"/>
    <w:rsid w:val="00410EB0"/>
    <w:rsid w:val="00411C11"/>
    <w:rsid w:val="00413A00"/>
    <w:rsid w:val="00416CF8"/>
    <w:rsid w:val="00420235"/>
    <w:rsid w:val="00423833"/>
    <w:rsid w:val="00423F79"/>
    <w:rsid w:val="00424065"/>
    <w:rsid w:val="0042470D"/>
    <w:rsid w:val="0042597D"/>
    <w:rsid w:val="004266DE"/>
    <w:rsid w:val="00426B01"/>
    <w:rsid w:val="0042701E"/>
    <w:rsid w:val="004300E9"/>
    <w:rsid w:val="00430988"/>
    <w:rsid w:val="004313F1"/>
    <w:rsid w:val="00431CB7"/>
    <w:rsid w:val="00431D9E"/>
    <w:rsid w:val="00431E86"/>
    <w:rsid w:val="00432298"/>
    <w:rsid w:val="00434E1C"/>
    <w:rsid w:val="00434F2A"/>
    <w:rsid w:val="00434F66"/>
    <w:rsid w:val="00435C96"/>
    <w:rsid w:val="00436833"/>
    <w:rsid w:val="00437168"/>
    <w:rsid w:val="00440641"/>
    <w:rsid w:val="0044119D"/>
    <w:rsid w:val="004417F8"/>
    <w:rsid w:val="0044211C"/>
    <w:rsid w:val="00443233"/>
    <w:rsid w:val="00443368"/>
    <w:rsid w:val="00443D39"/>
    <w:rsid w:val="00443EA3"/>
    <w:rsid w:val="004466E1"/>
    <w:rsid w:val="0045050F"/>
    <w:rsid w:val="00450B6A"/>
    <w:rsid w:val="0045255C"/>
    <w:rsid w:val="004540AA"/>
    <w:rsid w:val="004542FB"/>
    <w:rsid w:val="0045500B"/>
    <w:rsid w:val="004563B3"/>
    <w:rsid w:val="004576B1"/>
    <w:rsid w:val="00460096"/>
    <w:rsid w:val="00462559"/>
    <w:rsid w:val="00462EBA"/>
    <w:rsid w:val="00462F4D"/>
    <w:rsid w:val="00463123"/>
    <w:rsid w:val="00463AB7"/>
    <w:rsid w:val="00464791"/>
    <w:rsid w:val="00466149"/>
    <w:rsid w:val="00466ECF"/>
    <w:rsid w:val="00467FB1"/>
    <w:rsid w:val="00470671"/>
    <w:rsid w:val="004714B6"/>
    <w:rsid w:val="00471700"/>
    <w:rsid w:val="00472E75"/>
    <w:rsid w:val="004732BC"/>
    <w:rsid w:val="00474B78"/>
    <w:rsid w:val="00475C87"/>
    <w:rsid w:val="0047606C"/>
    <w:rsid w:val="004804A8"/>
    <w:rsid w:val="0048112A"/>
    <w:rsid w:val="004817DE"/>
    <w:rsid w:val="00482690"/>
    <w:rsid w:val="0048274E"/>
    <w:rsid w:val="00483056"/>
    <w:rsid w:val="004861AC"/>
    <w:rsid w:val="00486FCB"/>
    <w:rsid w:val="004876CC"/>
    <w:rsid w:val="00490C78"/>
    <w:rsid w:val="004917F5"/>
    <w:rsid w:val="0049199A"/>
    <w:rsid w:val="00491FF3"/>
    <w:rsid w:val="00492EBD"/>
    <w:rsid w:val="004943AE"/>
    <w:rsid w:val="004945D3"/>
    <w:rsid w:val="00494C22"/>
    <w:rsid w:val="00496300"/>
    <w:rsid w:val="0049652B"/>
    <w:rsid w:val="004A0D48"/>
    <w:rsid w:val="004A1030"/>
    <w:rsid w:val="004A11F0"/>
    <w:rsid w:val="004A1FA9"/>
    <w:rsid w:val="004A2BAA"/>
    <w:rsid w:val="004A3433"/>
    <w:rsid w:val="004A455E"/>
    <w:rsid w:val="004A52C5"/>
    <w:rsid w:val="004A6785"/>
    <w:rsid w:val="004A6ED0"/>
    <w:rsid w:val="004A7839"/>
    <w:rsid w:val="004B0749"/>
    <w:rsid w:val="004B082B"/>
    <w:rsid w:val="004B1C4C"/>
    <w:rsid w:val="004B2F5C"/>
    <w:rsid w:val="004B35B0"/>
    <w:rsid w:val="004B3608"/>
    <w:rsid w:val="004B4269"/>
    <w:rsid w:val="004B44B4"/>
    <w:rsid w:val="004B4763"/>
    <w:rsid w:val="004B4FA2"/>
    <w:rsid w:val="004B541F"/>
    <w:rsid w:val="004B61C8"/>
    <w:rsid w:val="004B7411"/>
    <w:rsid w:val="004B7997"/>
    <w:rsid w:val="004C1BCB"/>
    <w:rsid w:val="004C2658"/>
    <w:rsid w:val="004C32C4"/>
    <w:rsid w:val="004C48B9"/>
    <w:rsid w:val="004C5251"/>
    <w:rsid w:val="004C75C3"/>
    <w:rsid w:val="004C76AC"/>
    <w:rsid w:val="004C7E7E"/>
    <w:rsid w:val="004D0290"/>
    <w:rsid w:val="004D0592"/>
    <w:rsid w:val="004D159E"/>
    <w:rsid w:val="004D2EEA"/>
    <w:rsid w:val="004D3C39"/>
    <w:rsid w:val="004D5777"/>
    <w:rsid w:val="004D5DE0"/>
    <w:rsid w:val="004D6A63"/>
    <w:rsid w:val="004D7060"/>
    <w:rsid w:val="004D7D24"/>
    <w:rsid w:val="004E0735"/>
    <w:rsid w:val="004E0ABB"/>
    <w:rsid w:val="004E14DD"/>
    <w:rsid w:val="004E1996"/>
    <w:rsid w:val="004E21B7"/>
    <w:rsid w:val="004E43DF"/>
    <w:rsid w:val="004E498C"/>
    <w:rsid w:val="004E59E3"/>
    <w:rsid w:val="004E5F35"/>
    <w:rsid w:val="004E645E"/>
    <w:rsid w:val="004E7CE7"/>
    <w:rsid w:val="004E7D45"/>
    <w:rsid w:val="004F0B4A"/>
    <w:rsid w:val="004F1198"/>
    <w:rsid w:val="004F1399"/>
    <w:rsid w:val="004F1E3B"/>
    <w:rsid w:val="004F36A4"/>
    <w:rsid w:val="004F45E1"/>
    <w:rsid w:val="004F5091"/>
    <w:rsid w:val="004F55B3"/>
    <w:rsid w:val="004F71C4"/>
    <w:rsid w:val="004F71FF"/>
    <w:rsid w:val="004F7DAF"/>
    <w:rsid w:val="00501F0A"/>
    <w:rsid w:val="00503AAB"/>
    <w:rsid w:val="00504A68"/>
    <w:rsid w:val="00505006"/>
    <w:rsid w:val="005051E2"/>
    <w:rsid w:val="005059DC"/>
    <w:rsid w:val="00505BCF"/>
    <w:rsid w:val="00506E3B"/>
    <w:rsid w:val="00507331"/>
    <w:rsid w:val="00510059"/>
    <w:rsid w:val="00510583"/>
    <w:rsid w:val="0051064F"/>
    <w:rsid w:val="00514769"/>
    <w:rsid w:val="00514C27"/>
    <w:rsid w:val="005156D4"/>
    <w:rsid w:val="00515B71"/>
    <w:rsid w:val="00516BD7"/>
    <w:rsid w:val="00523ABC"/>
    <w:rsid w:val="00523CFA"/>
    <w:rsid w:val="005251CD"/>
    <w:rsid w:val="005263B2"/>
    <w:rsid w:val="0052752A"/>
    <w:rsid w:val="00527905"/>
    <w:rsid w:val="00527F33"/>
    <w:rsid w:val="005300AE"/>
    <w:rsid w:val="00530279"/>
    <w:rsid w:val="005307A8"/>
    <w:rsid w:val="00531570"/>
    <w:rsid w:val="00533E7B"/>
    <w:rsid w:val="00534303"/>
    <w:rsid w:val="00534EA4"/>
    <w:rsid w:val="00534F98"/>
    <w:rsid w:val="005357E2"/>
    <w:rsid w:val="00537C26"/>
    <w:rsid w:val="00537EBE"/>
    <w:rsid w:val="0054085D"/>
    <w:rsid w:val="005415CA"/>
    <w:rsid w:val="005424E1"/>
    <w:rsid w:val="00544536"/>
    <w:rsid w:val="005465E2"/>
    <w:rsid w:val="00546673"/>
    <w:rsid w:val="00546836"/>
    <w:rsid w:val="00547B79"/>
    <w:rsid w:val="005506FB"/>
    <w:rsid w:val="00550B89"/>
    <w:rsid w:val="00550BAB"/>
    <w:rsid w:val="00550E78"/>
    <w:rsid w:val="00550F12"/>
    <w:rsid w:val="00552C11"/>
    <w:rsid w:val="00554160"/>
    <w:rsid w:val="005549EF"/>
    <w:rsid w:val="0055639C"/>
    <w:rsid w:val="005565E5"/>
    <w:rsid w:val="005571DC"/>
    <w:rsid w:val="00557F26"/>
    <w:rsid w:val="005613A7"/>
    <w:rsid w:val="00561726"/>
    <w:rsid w:val="00561871"/>
    <w:rsid w:val="00561A13"/>
    <w:rsid w:val="005621B4"/>
    <w:rsid w:val="005626F3"/>
    <w:rsid w:val="005636C8"/>
    <w:rsid w:val="00563B42"/>
    <w:rsid w:val="00563DE3"/>
    <w:rsid w:val="00563DF7"/>
    <w:rsid w:val="0056723C"/>
    <w:rsid w:val="00570249"/>
    <w:rsid w:val="005704FD"/>
    <w:rsid w:val="00573F81"/>
    <w:rsid w:val="00574348"/>
    <w:rsid w:val="005777AF"/>
    <w:rsid w:val="005778B7"/>
    <w:rsid w:val="00577DE0"/>
    <w:rsid w:val="00584548"/>
    <w:rsid w:val="00584E29"/>
    <w:rsid w:val="00585600"/>
    <w:rsid w:val="00585616"/>
    <w:rsid w:val="00586D47"/>
    <w:rsid w:val="00587CE9"/>
    <w:rsid w:val="005912EC"/>
    <w:rsid w:val="005914E0"/>
    <w:rsid w:val="00592066"/>
    <w:rsid w:val="005922C4"/>
    <w:rsid w:val="00592565"/>
    <w:rsid w:val="00592DAC"/>
    <w:rsid w:val="00593005"/>
    <w:rsid w:val="0059382A"/>
    <w:rsid w:val="005938A6"/>
    <w:rsid w:val="00594DCD"/>
    <w:rsid w:val="00595D7C"/>
    <w:rsid w:val="0059615F"/>
    <w:rsid w:val="0059681F"/>
    <w:rsid w:val="00597058"/>
    <w:rsid w:val="00597F2B"/>
    <w:rsid w:val="00597F54"/>
    <w:rsid w:val="005A3F7F"/>
    <w:rsid w:val="005A551A"/>
    <w:rsid w:val="005A5AB5"/>
    <w:rsid w:val="005A719A"/>
    <w:rsid w:val="005A7354"/>
    <w:rsid w:val="005A7421"/>
    <w:rsid w:val="005A7771"/>
    <w:rsid w:val="005B0394"/>
    <w:rsid w:val="005B32BE"/>
    <w:rsid w:val="005B3760"/>
    <w:rsid w:val="005B43BC"/>
    <w:rsid w:val="005B51D2"/>
    <w:rsid w:val="005B6C40"/>
    <w:rsid w:val="005C03F0"/>
    <w:rsid w:val="005C2372"/>
    <w:rsid w:val="005C3802"/>
    <w:rsid w:val="005C3D80"/>
    <w:rsid w:val="005C498B"/>
    <w:rsid w:val="005C545B"/>
    <w:rsid w:val="005C632D"/>
    <w:rsid w:val="005D1131"/>
    <w:rsid w:val="005D12C4"/>
    <w:rsid w:val="005D166E"/>
    <w:rsid w:val="005D2A2C"/>
    <w:rsid w:val="005D38BB"/>
    <w:rsid w:val="005D425B"/>
    <w:rsid w:val="005D6D75"/>
    <w:rsid w:val="005D6FAF"/>
    <w:rsid w:val="005E043D"/>
    <w:rsid w:val="005E19DF"/>
    <w:rsid w:val="005E204E"/>
    <w:rsid w:val="005E2345"/>
    <w:rsid w:val="005E441B"/>
    <w:rsid w:val="005E4903"/>
    <w:rsid w:val="005E5C88"/>
    <w:rsid w:val="005E5F26"/>
    <w:rsid w:val="005E69CA"/>
    <w:rsid w:val="005E7C0F"/>
    <w:rsid w:val="005F117F"/>
    <w:rsid w:val="005F179F"/>
    <w:rsid w:val="005F1845"/>
    <w:rsid w:val="005F201A"/>
    <w:rsid w:val="005F2273"/>
    <w:rsid w:val="005F3B76"/>
    <w:rsid w:val="005F3B99"/>
    <w:rsid w:val="005F546C"/>
    <w:rsid w:val="005F61E2"/>
    <w:rsid w:val="005F69E7"/>
    <w:rsid w:val="005F7A06"/>
    <w:rsid w:val="006001CC"/>
    <w:rsid w:val="00600F9F"/>
    <w:rsid w:val="006021E0"/>
    <w:rsid w:val="00602A90"/>
    <w:rsid w:val="006036E5"/>
    <w:rsid w:val="0060524E"/>
    <w:rsid w:val="00605464"/>
    <w:rsid w:val="00607DF2"/>
    <w:rsid w:val="006108AC"/>
    <w:rsid w:val="00610EC1"/>
    <w:rsid w:val="00613667"/>
    <w:rsid w:val="00614171"/>
    <w:rsid w:val="006141BE"/>
    <w:rsid w:val="00616F73"/>
    <w:rsid w:val="00620D27"/>
    <w:rsid w:val="00620DA8"/>
    <w:rsid w:val="00620FFC"/>
    <w:rsid w:val="00621577"/>
    <w:rsid w:val="00622093"/>
    <w:rsid w:val="0062211F"/>
    <w:rsid w:val="0062223A"/>
    <w:rsid w:val="006241C7"/>
    <w:rsid w:val="0062478E"/>
    <w:rsid w:val="00624C0D"/>
    <w:rsid w:val="00624D95"/>
    <w:rsid w:val="00624FD9"/>
    <w:rsid w:val="006259E2"/>
    <w:rsid w:val="00625BB1"/>
    <w:rsid w:val="006261B7"/>
    <w:rsid w:val="006270AA"/>
    <w:rsid w:val="00627103"/>
    <w:rsid w:val="00630AC9"/>
    <w:rsid w:val="006312BB"/>
    <w:rsid w:val="0063501E"/>
    <w:rsid w:val="006350B6"/>
    <w:rsid w:val="006366B0"/>
    <w:rsid w:val="00636F61"/>
    <w:rsid w:val="00640246"/>
    <w:rsid w:val="00641187"/>
    <w:rsid w:val="00644151"/>
    <w:rsid w:val="00645F2A"/>
    <w:rsid w:val="00646E2F"/>
    <w:rsid w:val="00647DCB"/>
    <w:rsid w:val="0065123C"/>
    <w:rsid w:val="00654406"/>
    <w:rsid w:val="0065457F"/>
    <w:rsid w:val="006549D6"/>
    <w:rsid w:val="00654F3A"/>
    <w:rsid w:val="006565FA"/>
    <w:rsid w:val="00660C69"/>
    <w:rsid w:val="00661A82"/>
    <w:rsid w:val="006634EE"/>
    <w:rsid w:val="00663E44"/>
    <w:rsid w:val="00665887"/>
    <w:rsid w:val="00665C3A"/>
    <w:rsid w:val="006676D3"/>
    <w:rsid w:val="00672D18"/>
    <w:rsid w:val="0067322A"/>
    <w:rsid w:val="0067374C"/>
    <w:rsid w:val="00673C18"/>
    <w:rsid w:val="0067454B"/>
    <w:rsid w:val="006752D4"/>
    <w:rsid w:val="006758C0"/>
    <w:rsid w:val="00675DC6"/>
    <w:rsid w:val="00675E2C"/>
    <w:rsid w:val="006776EB"/>
    <w:rsid w:val="00677ED1"/>
    <w:rsid w:val="00680132"/>
    <w:rsid w:val="006822CF"/>
    <w:rsid w:val="00682F52"/>
    <w:rsid w:val="006831B2"/>
    <w:rsid w:val="00686A87"/>
    <w:rsid w:val="0068782F"/>
    <w:rsid w:val="00687EF8"/>
    <w:rsid w:val="006949B8"/>
    <w:rsid w:val="006954CB"/>
    <w:rsid w:val="00695952"/>
    <w:rsid w:val="00695D00"/>
    <w:rsid w:val="00696F2B"/>
    <w:rsid w:val="006974CC"/>
    <w:rsid w:val="006A0C4C"/>
    <w:rsid w:val="006A0CCD"/>
    <w:rsid w:val="006A13B9"/>
    <w:rsid w:val="006A26FD"/>
    <w:rsid w:val="006A2A83"/>
    <w:rsid w:val="006A2C89"/>
    <w:rsid w:val="006A3554"/>
    <w:rsid w:val="006A3806"/>
    <w:rsid w:val="006A3D18"/>
    <w:rsid w:val="006A3DA6"/>
    <w:rsid w:val="006A3E63"/>
    <w:rsid w:val="006A447E"/>
    <w:rsid w:val="006A5BDE"/>
    <w:rsid w:val="006A5E9A"/>
    <w:rsid w:val="006A7236"/>
    <w:rsid w:val="006B08EB"/>
    <w:rsid w:val="006B1611"/>
    <w:rsid w:val="006B2623"/>
    <w:rsid w:val="006B5ED3"/>
    <w:rsid w:val="006B63C4"/>
    <w:rsid w:val="006B71CB"/>
    <w:rsid w:val="006B7C86"/>
    <w:rsid w:val="006B7DFB"/>
    <w:rsid w:val="006C0411"/>
    <w:rsid w:val="006C113A"/>
    <w:rsid w:val="006C1303"/>
    <w:rsid w:val="006C1306"/>
    <w:rsid w:val="006C3FD1"/>
    <w:rsid w:val="006C5F3D"/>
    <w:rsid w:val="006D1222"/>
    <w:rsid w:val="006D16D3"/>
    <w:rsid w:val="006D1DD6"/>
    <w:rsid w:val="006D225D"/>
    <w:rsid w:val="006D4691"/>
    <w:rsid w:val="006D4D3C"/>
    <w:rsid w:val="006D5B66"/>
    <w:rsid w:val="006D5DF7"/>
    <w:rsid w:val="006D656A"/>
    <w:rsid w:val="006D6BC9"/>
    <w:rsid w:val="006D78BB"/>
    <w:rsid w:val="006D78DE"/>
    <w:rsid w:val="006E1A1C"/>
    <w:rsid w:val="006E4574"/>
    <w:rsid w:val="006E57DA"/>
    <w:rsid w:val="006E7020"/>
    <w:rsid w:val="006F101B"/>
    <w:rsid w:val="006F1282"/>
    <w:rsid w:val="006F220B"/>
    <w:rsid w:val="006F2956"/>
    <w:rsid w:val="006F2F56"/>
    <w:rsid w:val="006F33F0"/>
    <w:rsid w:val="006F493A"/>
    <w:rsid w:val="006F5939"/>
    <w:rsid w:val="006F68BF"/>
    <w:rsid w:val="00700D62"/>
    <w:rsid w:val="00701519"/>
    <w:rsid w:val="00702846"/>
    <w:rsid w:val="0070405B"/>
    <w:rsid w:val="0070585B"/>
    <w:rsid w:val="00705EDE"/>
    <w:rsid w:val="00706805"/>
    <w:rsid w:val="007105DE"/>
    <w:rsid w:val="00711998"/>
    <w:rsid w:val="00712EF4"/>
    <w:rsid w:val="00712F43"/>
    <w:rsid w:val="00716A2C"/>
    <w:rsid w:val="0072034D"/>
    <w:rsid w:val="00721405"/>
    <w:rsid w:val="00722778"/>
    <w:rsid w:val="00724ACC"/>
    <w:rsid w:val="00725079"/>
    <w:rsid w:val="0072595B"/>
    <w:rsid w:val="00725A46"/>
    <w:rsid w:val="00731553"/>
    <w:rsid w:val="00732B0E"/>
    <w:rsid w:val="00733A18"/>
    <w:rsid w:val="00733BEE"/>
    <w:rsid w:val="00734D06"/>
    <w:rsid w:val="00735D17"/>
    <w:rsid w:val="00736549"/>
    <w:rsid w:val="00736ED3"/>
    <w:rsid w:val="007378E3"/>
    <w:rsid w:val="00740625"/>
    <w:rsid w:val="00741179"/>
    <w:rsid w:val="007434D4"/>
    <w:rsid w:val="00743CFE"/>
    <w:rsid w:val="00745683"/>
    <w:rsid w:val="007473A3"/>
    <w:rsid w:val="00750589"/>
    <w:rsid w:val="00751249"/>
    <w:rsid w:val="007512B0"/>
    <w:rsid w:val="00751322"/>
    <w:rsid w:val="00752386"/>
    <w:rsid w:val="007529FF"/>
    <w:rsid w:val="00752C39"/>
    <w:rsid w:val="00754AD3"/>
    <w:rsid w:val="00756B85"/>
    <w:rsid w:val="00760C91"/>
    <w:rsid w:val="00760DB3"/>
    <w:rsid w:val="00761621"/>
    <w:rsid w:val="00763487"/>
    <w:rsid w:val="00764BC4"/>
    <w:rsid w:val="0076578C"/>
    <w:rsid w:val="007666F6"/>
    <w:rsid w:val="00772064"/>
    <w:rsid w:val="0077263E"/>
    <w:rsid w:val="007732A7"/>
    <w:rsid w:val="00773F73"/>
    <w:rsid w:val="00774ABD"/>
    <w:rsid w:val="0077587F"/>
    <w:rsid w:val="00775954"/>
    <w:rsid w:val="00776923"/>
    <w:rsid w:val="00776F15"/>
    <w:rsid w:val="00777068"/>
    <w:rsid w:val="00780642"/>
    <w:rsid w:val="007807CA"/>
    <w:rsid w:val="0078158C"/>
    <w:rsid w:val="0078173C"/>
    <w:rsid w:val="00781830"/>
    <w:rsid w:val="00782A42"/>
    <w:rsid w:val="00782B63"/>
    <w:rsid w:val="00786022"/>
    <w:rsid w:val="007867A3"/>
    <w:rsid w:val="00786A87"/>
    <w:rsid w:val="00787070"/>
    <w:rsid w:val="00790128"/>
    <w:rsid w:val="00790719"/>
    <w:rsid w:val="00790E03"/>
    <w:rsid w:val="00791525"/>
    <w:rsid w:val="00793F81"/>
    <w:rsid w:val="00794063"/>
    <w:rsid w:val="007958E7"/>
    <w:rsid w:val="00795B59"/>
    <w:rsid w:val="00797024"/>
    <w:rsid w:val="00797292"/>
    <w:rsid w:val="00797632"/>
    <w:rsid w:val="007A0982"/>
    <w:rsid w:val="007A2068"/>
    <w:rsid w:val="007A2572"/>
    <w:rsid w:val="007A26FB"/>
    <w:rsid w:val="007A29B1"/>
    <w:rsid w:val="007A2C70"/>
    <w:rsid w:val="007A2E25"/>
    <w:rsid w:val="007A4769"/>
    <w:rsid w:val="007A6AE3"/>
    <w:rsid w:val="007A6AEF"/>
    <w:rsid w:val="007A7459"/>
    <w:rsid w:val="007A784C"/>
    <w:rsid w:val="007B00A0"/>
    <w:rsid w:val="007B0374"/>
    <w:rsid w:val="007B0E92"/>
    <w:rsid w:val="007B12C8"/>
    <w:rsid w:val="007B2769"/>
    <w:rsid w:val="007B2B95"/>
    <w:rsid w:val="007B2BCF"/>
    <w:rsid w:val="007B2EEC"/>
    <w:rsid w:val="007B31C1"/>
    <w:rsid w:val="007B40AA"/>
    <w:rsid w:val="007B4384"/>
    <w:rsid w:val="007B4583"/>
    <w:rsid w:val="007B4C44"/>
    <w:rsid w:val="007B6E28"/>
    <w:rsid w:val="007C1825"/>
    <w:rsid w:val="007C1AA1"/>
    <w:rsid w:val="007C2F05"/>
    <w:rsid w:val="007C3104"/>
    <w:rsid w:val="007C3637"/>
    <w:rsid w:val="007C4265"/>
    <w:rsid w:val="007C5919"/>
    <w:rsid w:val="007D0DD7"/>
    <w:rsid w:val="007D36D1"/>
    <w:rsid w:val="007D3A91"/>
    <w:rsid w:val="007D3F4D"/>
    <w:rsid w:val="007D5A59"/>
    <w:rsid w:val="007D62D8"/>
    <w:rsid w:val="007D6853"/>
    <w:rsid w:val="007D6B2C"/>
    <w:rsid w:val="007D6C0F"/>
    <w:rsid w:val="007D7683"/>
    <w:rsid w:val="007D77C1"/>
    <w:rsid w:val="007D77F7"/>
    <w:rsid w:val="007D7F08"/>
    <w:rsid w:val="007E013A"/>
    <w:rsid w:val="007E09AA"/>
    <w:rsid w:val="007E13AE"/>
    <w:rsid w:val="007E1F4E"/>
    <w:rsid w:val="007E5167"/>
    <w:rsid w:val="007E542E"/>
    <w:rsid w:val="007E54E2"/>
    <w:rsid w:val="007E68C8"/>
    <w:rsid w:val="007E6E45"/>
    <w:rsid w:val="007F071C"/>
    <w:rsid w:val="007F1DC4"/>
    <w:rsid w:val="007F1EA0"/>
    <w:rsid w:val="007F1F22"/>
    <w:rsid w:val="007F3D9E"/>
    <w:rsid w:val="007F4534"/>
    <w:rsid w:val="007F4842"/>
    <w:rsid w:val="007F73CD"/>
    <w:rsid w:val="0080044A"/>
    <w:rsid w:val="008011AF"/>
    <w:rsid w:val="0080210F"/>
    <w:rsid w:val="00802555"/>
    <w:rsid w:val="00804EE4"/>
    <w:rsid w:val="00807813"/>
    <w:rsid w:val="00807A75"/>
    <w:rsid w:val="008107B7"/>
    <w:rsid w:val="0081096C"/>
    <w:rsid w:val="00811854"/>
    <w:rsid w:val="008136F6"/>
    <w:rsid w:val="008137F1"/>
    <w:rsid w:val="0081386E"/>
    <w:rsid w:val="00813FE8"/>
    <w:rsid w:val="008149F4"/>
    <w:rsid w:val="0081513C"/>
    <w:rsid w:val="0081612E"/>
    <w:rsid w:val="008162D6"/>
    <w:rsid w:val="00817EBA"/>
    <w:rsid w:val="00820091"/>
    <w:rsid w:val="008212AB"/>
    <w:rsid w:val="00821FED"/>
    <w:rsid w:val="00822753"/>
    <w:rsid w:val="008235B5"/>
    <w:rsid w:val="008243DA"/>
    <w:rsid w:val="0082499C"/>
    <w:rsid w:val="00824CCD"/>
    <w:rsid w:val="008251FA"/>
    <w:rsid w:val="00825B88"/>
    <w:rsid w:val="00827471"/>
    <w:rsid w:val="00827959"/>
    <w:rsid w:val="00827DFC"/>
    <w:rsid w:val="00831242"/>
    <w:rsid w:val="008329AD"/>
    <w:rsid w:val="00833550"/>
    <w:rsid w:val="00833693"/>
    <w:rsid w:val="00836DA0"/>
    <w:rsid w:val="008370C8"/>
    <w:rsid w:val="00837A8B"/>
    <w:rsid w:val="008407A8"/>
    <w:rsid w:val="00840F5C"/>
    <w:rsid w:val="008419BF"/>
    <w:rsid w:val="00841E43"/>
    <w:rsid w:val="0084219D"/>
    <w:rsid w:val="0084293A"/>
    <w:rsid w:val="0084426F"/>
    <w:rsid w:val="00844331"/>
    <w:rsid w:val="0084462B"/>
    <w:rsid w:val="00844CC7"/>
    <w:rsid w:val="00846526"/>
    <w:rsid w:val="008465A7"/>
    <w:rsid w:val="008469AA"/>
    <w:rsid w:val="00850073"/>
    <w:rsid w:val="00851038"/>
    <w:rsid w:val="00853B1F"/>
    <w:rsid w:val="0085405F"/>
    <w:rsid w:val="008550DF"/>
    <w:rsid w:val="00855439"/>
    <w:rsid w:val="008562A8"/>
    <w:rsid w:val="008565E8"/>
    <w:rsid w:val="0086259D"/>
    <w:rsid w:val="00862AD0"/>
    <w:rsid w:val="008632FA"/>
    <w:rsid w:val="0086343A"/>
    <w:rsid w:val="00864D46"/>
    <w:rsid w:val="00864EEE"/>
    <w:rsid w:val="008660F2"/>
    <w:rsid w:val="00866EC6"/>
    <w:rsid w:val="00867F3D"/>
    <w:rsid w:val="00867F8F"/>
    <w:rsid w:val="00870594"/>
    <w:rsid w:val="008706B6"/>
    <w:rsid w:val="0087098C"/>
    <w:rsid w:val="00870DC2"/>
    <w:rsid w:val="0087174E"/>
    <w:rsid w:val="00871B10"/>
    <w:rsid w:val="00874077"/>
    <w:rsid w:val="0087546E"/>
    <w:rsid w:val="00875696"/>
    <w:rsid w:val="0087608D"/>
    <w:rsid w:val="00881457"/>
    <w:rsid w:val="00881671"/>
    <w:rsid w:val="0088698A"/>
    <w:rsid w:val="00887976"/>
    <w:rsid w:val="00887CFF"/>
    <w:rsid w:val="00887DD4"/>
    <w:rsid w:val="00887FD0"/>
    <w:rsid w:val="0089208D"/>
    <w:rsid w:val="00892399"/>
    <w:rsid w:val="008959DE"/>
    <w:rsid w:val="00895D0D"/>
    <w:rsid w:val="00896E8D"/>
    <w:rsid w:val="0089789B"/>
    <w:rsid w:val="008A1B94"/>
    <w:rsid w:val="008A3817"/>
    <w:rsid w:val="008B0340"/>
    <w:rsid w:val="008B188A"/>
    <w:rsid w:val="008B1E59"/>
    <w:rsid w:val="008B2FB3"/>
    <w:rsid w:val="008B31DE"/>
    <w:rsid w:val="008B353C"/>
    <w:rsid w:val="008C0628"/>
    <w:rsid w:val="008C279C"/>
    <w:rsid w:val="008C5FEA"/>
    <w:rsid w:val="008D0128"/>
    <w:rsid w:val="008D0A0E"/>
    <w:rsid w:val="008D1461"/>
    <w:rsid w:val="008D14A7"/>
    <w:rsid w:val="008D27C6"/>
    <w:rsid w:val="008D27E2"/>
    <w:rsid w:val="008D2C41"/>
    <w:rsid w:val="008D34B7"/>
    <w:rsid w:val="008D3933"/>
    <w:rsid w:val="008D417B"/>
    <w:rsid w:val="008D52C1"/>
    <w:rsid w:val="008D5413"/>
    <w:rsid w:val="008D5C9C"/>
    <w:rsid w:val="008D6EAC"/>
    <w:rsid w:val="008D7317"/>
    <w:rsid w:val="008E2845"/>
    <w:rsid w:val="008E3D09"/>
    <w:rsid w:val="008E3FE4"/>
    <w:rsid w:val="008E438B"/>
    <w:rsid w:val="008E598F"/>
    <w:rsid w:val="008E7413"/>
    <w:rsid w:val="008E797A"/>
    <w:rsid w:val="008F05C7"/>
    <w:rsid w:val="008F0DDA"/>
    <w:rsid w:val="008F1FB7"/>
    <w:rsid w:val="008F25F8"/>
    <w:rsid w:val="008F2B90"/>
    <w:rsid w:val="008F2E6F"/>
    <w:rsid w:val="008F424C"/>
    <w:rsid w:val="008F462A"/>
    <w:rsid w:val="008F4964"/>
    <w:rsid w:val="008F597E"/>
    <w:rsid w:val="008F78E7"/>
    <w:rsid w:val="008F7C8C"/>
    <w:rsid w:val="008F7D24"/>
    <w:rsid w:val="009006B1"/>
    <w:rsid w:val="009020CC"/>
    <w:rsid w:val="00902151"/>
    <w:rsid w:val="009023FA"/>
    <w:rsid w:val="00902848"/>
    <w:rsid w:val="009043C4"/>
    <w:rsid w:val="00904621"/>
    <w:rsid w:val="00905005"/>
    <w:rsid w:val="009110B3"/>
    <w:rsid w:val="009111A0"/>
    <w:rsid w:val="009114F8"/>
    <w:rsid w:val="00911BB8"/>
    <w:rsid w:val="00912227"/>
    <w:rsid w:val="00912473"/>
    <w:rsid w:val="00912925"/>
    <w:rsid w:val="009137FF"/>
    <w:rsid w:val="00913C65"/>
    <w:rsid w:val="00915287"/>
    <w:rsid w:val="0091547E"/>
    <w:rsid w:val="009169F1"/>
    <w:rsid w:val="0092051E"/>
    <w:rsid w:val="00920955"/>
    <w:rsid w:val="00920A7A"/>
    <w:rsid w:val="00920B20"/>
    <w:rsid w:val="00920ED8"/>
    <w:rsid w:val="00921728"/>
    <w:rsid w:val="00922618"/>
    <w:rsid w:val="00922910"/>
    <w:rsid w:val="00922BAE"/>
    <w:rsid w:val="00923497"/>
    <w:rsid w:val="00923B64"/>
    <w:rsid w:val="00923F6B"/>
    <w:rsid w:val="00924727"/>
    <w:rsid w:val="00924C0A"/>
    <w:rsid w:val="00925549"/>
    <w:rsid w:val="00925F9C"/>
    <w:rsid w:val="00926441"/>
    <w:rsid w:val="00926786"/>
    <w:rsid w:val="0092783E"/>
    <w:rsid w:val="0093037B"/>
    <w:rsid w:val="00930B33"/>
    <w:rsid w:val="00932096"/>
    <w:rsid w:val="0093235D"/>
    <w:rsid w:val="00933662"/>
    <w:rsid w:val="00933B40"/>
    <w:rsid w:val="00936C64"/>
    <w:rsid w:val="00936E43"/>
    <w:rsid w:val="00937407"/>
    <w:rsid w:val="00940278"/>
    <w:rsid w:val="0094029F"/>
    <w:rsid w:val="0094161D"/>
    <w:rsid w:val="00941DDB"/>
    <w:rsid w:val="009442A8"/>
    <w:rsid w:val="009446F2"/>
    <w:rsid w:val="0094531A"/>
    <w:rsid w:val="009456DB"/>
    <w:rsid w:val="009457BB"/>
    <w:rsid w:val="009474B7"/>
    <w:rsid w:val="00950AA0"/>
    <w:rsid w:val="009514EA"/>
    <w:rsid w:val="00954E2C"/>
    <w:rsid w:val="009618BB"/>
    <w:rsid w:val="00963D90"/>
    <w:rsid w:val="00964ACE"/>
    <w:rsid w:val="009673B2"/>
    <w:rsid w:val="0096756A"/>
    <w:rsid w:val="009675DD"/>
    <w:rsid w:val="00970B0E"/>
    <w:rsid w:val="00971949"/>
    <w:rsid w:val="00971D20"/>
    <w:rsid w:val="009720D5"/>
    <w:rsid w:val="00974CA9"/>
    <w:rsid w:val="00975296"/>
    <w:rsid w:val="00975F1E"/>
    <w:rsid w:val="00977DBD"/>
    <w:rsid w:val="009810A8"/>
    <w:rsid w:val="00981B8A"/>
    <w:rsid w:val="00982C08"/>
    <w:rsid w:val="00983295"/>
    <w:rsid w:val="00983418"/>
    <w:rsid w:val="00983AE8"/>
    <w:rsid w:val="00987185"/>
    <w:rsid w:val="00987268"/>
    <w:rsid w:val="009877CA"/>
    <w:rsid w:val="00987C02"/>
    <w:rsid w:val="00990383"/>
    <w:rsid w:val="009904E0"/>
    <w:rsid w:val="009922FA"/>
    <w:rsid w:val="00992525"/>
    <w:rsid w:val="00992651"/>
    <w:rsid w:val="00992B40"/>
    <w:rsid w:val="00993AB1"/>
    <w:rsid w:val="00994083"/>
    <w:rsid w:val="00994D33"/>
    <w:rsid w:val="00996440"/>
    <w:rsid w:val="00996A37"/>
    <w:rsid w:val="00996A98"/>
    <w:rsid w:val="00996C5E"/>
    <w:rsid w:val="00997148"/>
    <w:rsid w:val="009A6149"/>
    <w:rsid w:val="009A75E3"/>
    <w:rsid w:val="009B15E5"/>
    <w:rsid w:val="009B1778"/>
    <w:rsid w:val="009B2265"/>
    <w:rsid w:val="009B4576"/>
    <w:rsid w:val="009B56D7"/>
    <w:rsid w:val="009B6394"/>
    <w:rsid w:val="009B66ED"/>
    <w:rsid w:val="009B6865"/>
    <w:rsid w:val="009C3465"/>
    <w:rsid w:val="009C487F"/>
    <w:rsid w:val="009C6533"/>
    <w:rsid w:val="009C765C"/>
    <w:rsid w:val="009D009D"/>
    <w:rsid w:val="009D0C2D"/>
    <w:rsid w:val="009D0E01"/>
    <w:rsid w:val="009D1085"/>
    <w:rsid w:val="009D11E5"/>
    <w:rsid w:val="009D124A"/>
    <w:rsid w:val="009D1A50"/>
    <w:rsid w:val="009D30AD"/>
    <w:rsid w:val="009D32B3"/>
    <w:rsid w:val="009D3374"/>
    <w:rsid w:val="009D62C2"/>
    <w:rsid w:val="009D68F8"/>
    <w:rsid w:val="009D75C0"/>
    <w:rsid w:val="009D7C03"/>
    <w:rsid w:val="009E050E"/>
    <w:rsid w:val="009E1B72"/>
    <w:rsid w:val="009E1EBB"/>
    <w:rsid w:val="009E281D"/>
    <w:rsid w:val="009E48A6"/>
    <w:rsid w:val="009E5B80"/>
    <w:rsid w:val="009E6DC3"/>
    <w:rsid w:val="009E734C"/>
    <w:rsid w:val="009F113F"/>
    <w:rsid w:val="009F2BEA"/>
    <w:rsid w:val="009F2F4B"/>
    <w:rsid w:val="009F380F"/>
    <w:rsid w:val="009F3DF1"/>
    <w:rsid w:val="00A0103F"/>
    <w:rsid w:val="00A02ABB"/>
    <w:rsid w:val="00A048FB"/>
    <w:rsid w:val="00A06878"/>
    <w:rsid w:val="00A06B67"/>
    <w:rsid w:val="00A071E8"/>
    <w:rsid w:val="00A104E0"/>
    <w:rsid w:val="00A116C2"/>
    <w:rsid w:val="00A11CAB"/>
    <w:rsid w:val="00A12DF1"/>
    <w:rsid w:val="00A13587"/>
    <w:rsid w:val="00A13B9C"/>
    <w:rsid w:val="00A14A8C"/>
    <w:rsid w:val="00A15E87"/>
    <w:rsid w:val="00A17386"/>
    <w:rsid w:val="00A17A5E"/>
    <w:rsid w:val="00A200EC"/>
    <w:rsid w:val="00A215D4"/>
    <w:rsid w:val="00A2177D"/>
    <w:rsid w:val="00A21C98"/>
    <w:rsid w:val="00A248EC"/>
    <w:rsid w:val="00A267B5"/>
    <w:rsid w:val="00A26BB1"/>
    <w:rsid w:val="00A2782F"/>
    <w:rsid w:val="00A30B8E"/>
    <w:rsid w:val="00A30F74"/>
    <w:rsid w:val="00A32758"/>
    <w:rsid w:val="00A32E0C"/>
    <w:rsid w:val="00A32FB3"/>
    <w:rsid w:val="00A33403"/>
    <w:rsid w:val="00A33C31"/>
    <w:rsid w:val="00A340EF"/>
    <w:rsid w:val="00A3497B"/>
    <w:rsid w:val="00A349D5"/>
    <w:rsid w:val="00A35CA4"/>
    <w:rsid w:val="00A372E2"/>
    <w:rsid w:val="00A37D9C"/>
    <w:rsid w:val="00A37F7C"/>
    <w:rsid w:val="00A412A5"/>
    <w:rsid w:val="00A41B55"/>
    <w:rsid w:val="00A41E04"/>
    <w:rsid w:val="00A4240A"/>
    <w:rsid w:val="00A42DB6"/>
    <w:rsid w:val="00A439BC"/>
    <w:rsid w:val="00A504D8"/>
    <w:rsid w:val="00A50976"/>
    <w:rsid w:val="00A510A3"/>
    <w:rsid w:val="00A52A42"/>
    <w:rsid w:val="00A5373D"/>
    <w:rsid w:val="00A56651"/>
    <w:rsid w:val="00A572D4"/>
    <w:rsid w:val="00A600A9"/>
    <w:rsid w:val="00A60F11"/>
    <w:rsid w:val="00A61158"/>
    <w:rsid w:val="00A63C5F"/>
    <w:rsid w:val="00A63DF5"/>
    <w:rsid w:val="00A64EA6"/>
    <w:rsid w:val="00A65750"/>
    <w:rsid w:val="00A65FEA"/>
    <w:rsid w:val="00A66D24"/>
    <w:rsid w:val="00A676CD"/>
    <w:rsid w:val="00A70C12"/>
    <w:rsid w:val="00A70C7A"/>
    <w:rsid w:val="00A71752"/>
    <w:rsid w:val="00A72B58"/>
    <w:rsid w:val="00A73D22"/>
    <w:rsid w:val="00A75228"/>
    <w:rsid w:val="00A7523E"/>
    <w:rsid w:val="00A76A54"/>
    <w:rsid w:val="00A76E5A"/>
    <w:rsid w:val="00A76EE6"/>
    <w:rsid w:val="00A77E96"/>
    <w:rsid w:val="00A80D79"/>
    <w:rsid w:val="00A82CA0"/>
    <w:rsid w:val="00A83A63"/>
    <w:rsid w:val="00A8537A"/>
    <w:rsid w:val="00A8584F"/>
    <w:rsid w:val="00A85C96"/>
    <w:rsid w:val="00A87133"/>
    <w:rsid w:val="00A8755F"/>
    <w:rsid w:val="00A901DA"/>
    <w:rsid w:val="00A907E5"/>
    <w:rsid w:val="00A92293"/>
    <w:rsid w:val="00A93246"/>
    <w:rsid w:val="00A9557B"/>
    <w:rsid w:val="00A9697C"/>
    <w:rsid w:val="00AA005F"/>
    <w:rsid w:val="00AA0D5A"/>
    <w:rsid w:val="00AA1E49"/>
    <w:rsid w:val="00AA2083"/>
    <w:rsid w:val="00AA2B24"/>
    <w:rsid w:val="00AA2C04"/>
    <w:rsid w:val="00AA2FD6"/>
    <w:rsid w:val="00AA310B"/>
    <w:rsid w:val="00AA44FC"/>
    <w:rsid w:val="00AA495F"/>
    <w:rsid w:val="00AA4F5B"/>
    <w:rsid w:val="00AA7047"/>
    <w:rsid w:val="00AB08ED"/>
    <w:rsid w:val="00AB1FB8"/>
    <w:rsid w:val="00AB34AC"/>
    <w:rsid w:val="00AB37F0"/>
    <w:rsid w:val="00AB5D29"/>
    <w:rsid w:val="00AC0BC3"/>
    <w:rsid w:val="00AC4B68"/>
    <w:rsid w:val="00AC4BBA"/>
    <w:rsid w:val="00AC556C"/>
    <w:rsid w:val="00AC582E"/>
    <w:rsid w:val="00AC61AB"/>
    <w:rsid w:val="00AC6F6F"/>
    <w:rsid w:val="00AC7183"/>
    <w:rsid w:val="00AC7208"/>
    <w:rsid w:val="00AC74C8"/>
    <w:rsid w:val="00AD1C31"/>
    <w:rsid w:val="00AD2251"/>
    <w:rsid w:val="00AD2C12"/>
    <w:rsid w:val="00AD2D6E"/>
    <w:rsid w:val="00AD3012"/>
    <w:rsid w:val="00AD3779"/>
    <w:rsid w:val="00AD563E"/>
    <w:rsid w:val="00AD6C8C"/>
    <w:rsid w:val="00AD7456"/>
    <w:rsid w:val="00AE01C9"/>
    <w:rsid w:val="00AE0896"/>
    <w:rsid w:val="00AE0CC5"/>
    <w:rsid w:val="00AE1F2B"/>
    <w:rsid w:val="00AE3111"/>
    <w:rsid w:val="00AE3193"/>
    <w:rsid w:val="00AE3311"/>
    <w:rsid w:val="00AE35C7"/>
    <w:rsid w:val="00AE54E3"/>
    <w:rsid w:val="00AE59CB"/>
    <w:rsid w:val="00AE5C86"/>
    <w:rsid w:val="00AE6102"/>
    <w:rsid w:val="00AF1031"/>
    <w:rsid w:val="00AF1139"/>
    <w:rsid w:val="00AF212A"/>
    <w:rsid w:val="00AF5016"/>
    <w:rsid w:val="00AF587A"/>
    <w:rsid w:val="00AF6FC8"/>
    <w:rsid w:val="00AF77FF"/>
    <w:rsid w:val="00AF7FD8"/>
    <w:rsid w:val="00B016A2"/>
    <w:rsid w:val="00B020AC"/>
    <w:rsid w:val="00B020E7"/>
    <w:rsid w:val="00B027EC"/>
    <w:rsid w:val="00B02877"/>
    <w:rsid w:val="00B05DC9"/>
    <w:rsid w:val="00B07CD3"/>
    <w:rsid w:val="00B106E2"/>
    <w:rsid w:val="00B10A9A"/>
    <w:rsid w:val="00B10A9F"/>
    <w:rsid w:val="00B1104F"/>
    <w:rsid w:val="00B116B6"/>
    <w:rsid w:val="00B123C2"/>
    <w:rsid w:val="00B12C15"/>
    <w:rsid w:val="00B14C42"/>
    <w:rsid w:val="00B1618F"/>
    <w:rsid w:val="00B16C9E"/>
    <w:rsid w:val="00B17436"/>
    <w:rsid w:val="00B209EE"/>
    <w:rsid w:val="00B21AAF"/>
    <w:rsid w:val="00B223F2"/>
    <w:rsid w:val="00B22D9D"/>
    <w:rsid w:val="00B233C9"/>
    <w:rsid w:val="00B24A2E"/>
    <w:rsid w:val="00B260EF"/>
    <w:rsid w:val="00B271FF"/>
    <w:rsid w:val="00B324E3"/>
    <w:rsid w:val="00B334EA"/>
    <w:rsid w:val="00B3376C"/>
    <w:rsid w:val="00B37E20"/>
    <w:rsid w:val="00B40E14"/>
    <w:rsid w:val="00B416B2"/>
    <w:rsid w:val="00B42F3C"/>
    <w:rsid w:val="00B551C3"/>
    <w:rsid w:val="00B558D3"/>
    <w:rsid w:val="00B55AD1"/>
    <w:rsid w:val="00B567A7"/>
    <w:rsid w:val="00B56D0C"/>
    <w:rsid w:val="00B601EF"/>
    <w:rsid w:val="00B6038B"/>
    <w:rsid w:val="00B60D99"/>
    <w:rsid w:val="00B61B2A"/>
    <w:rsid w:val="00B61D8B"/>
    <w:rsid w:val="00B61E68"/>
    <w:rsid w:val="00B61EF3"/>
    <w:rsid w:val="00B62BF7"/>
    <w:rsid w:val="00B63439"/>
    <w:rsid w:val="00B644B7"/>
    <w:rsid w:val="00B64BBF"/>
    <w:rsid w:val="00B6565C"/>
    <w:rsid w:val="00B65E04"/>
    <w:rsid w:val="00B669D5"/>
    <w:rsid w:val="00B66C2E"/>
    <w:rsid w:val="00B67102"/>
    <w:rsid w:val="00B67158"/>
    <w:rsid w:val="00B701D8"/>
    <w:rsid w:val="00B71CC1"/>
    <w:rsid w:val="00B7270A"/>
    <w:rsid w:val="00B75F06"/>
    <w:rsid w:val="00B76A4B"/>
    <w:rsid w:val="00B76D93"/>
    <w:rsid w:val="00B77758"/>
    <w:rsid w:val="00B8020A"/>
    <w:rsid w:val="00B8062E"/>
    <w:rsid w:val="00B80930"/>
    <w:rsid w:val="00B827FA"/>
    <w:rsid w:val="00B83495"/>
    <w:rsid w:val="00B8465B"/>
    <w:rsid w:val="00B84D85"/>
    <w:rsid w:val="00B85E74"/>
    <w:rsid w:val="00B86EBE"/>
    <w:rsid w:val="00B87026"/>
    <w:rsid w:val="00B876E4"/>
    <w:rsid w:val="00B90112"/>
    <w:rsid w:val="00B90E82"/>
    <w:rsid w:val="00B91174"/>
    <w:rsid w:val="00B91FB3"/>
    <w:rsid w:val="00B9247D"/>
    <w:rsid w:val="00B936EE"/>
    <w:rsid w:val="00B93FB2"/>
    <w:rsid w:val="00B96571"/>
    <w:rsid w:val="00B96838"/>
    <w:rsid w:val="00B97DDD"/>
    <w:rsid w:val="00BA03D6"/>
    <w:rsid w:val="00BA0403"/>
    <w:rsid w:val="00BA06AA"/>
    <w:rsid w:val="00BA08EC"/>
    <w:rsid w:val="00BA266F"/>
    <w:rsid w:val="00BA3173"/>
    <w:rsid w:val="00BA34E2"/>
    <w:rsid w:val="00BA3DE3"/>
    <w:rsid w:val="00BA4BB0"/>
    <w:rsid w:val="00BA4BFE"/>
    <w:rsid w:val="00BA7F7A"/>
    <w:rsid w:val="00BB02AB"/>
    <w:rsid w:val="00BB1EC5"/>
    <w:rsid w:val="00BB2DD3"/>
    <w:rsid w:val="00BB39E4"/>
    <w:rsid w:val="00BB3F1D"/>
    <w:rsid w:val="00BB4FB1"/>
    <w:rsid w:val="00BB5BC4"/>
    <w:rsid w:val="00BB63F7"/>
    <w:rsid w:val="00BB781F"/>
    <w:rsid w:val="00BB7BF5"/>
    <w:rsid w:val="00BC014D"/>
    <w:rsid w:val="00BC0CF8"/>
    <w:rsid w:val="00BC1397"/>
    <w:rsid w:val="00BC165A"/>
    <w:rsid w:val="00BC1B53"/>
    <w:rsid w:val="00BC5FBB"/>
    <w:rsid w:val="00BC706C"/>
    <w:rsid w:val="00BC72C7"/>
    <w:rsid w:val="00BC7928"/>
    <w:rsid w:val="00BD0449"/>
    <w:rsid w:val="00BD04D5"/>
    <w:rsid w:val="00BD08B2"/>
    <w:rsid w:val="00BD301C"/>
    <w:rsid w:val="00BD3721"/>
    <w:rsid w:val="00BD6D8E"/>
    <w:rsid w:val="00BD7BEF"/>
    <w:rsid w:val="00BE09D8"/>
    <w:rsid w:val="00BE1258"/>
    <w:rsid w:val="00BE151C"/>
    <w:rsid w:val="00BE369D"/>
    <w:rsid w:val="00BE3DCA"/>
    <w:rsid w:val="00BE4709"/>
    <w:rsid w:val="00BE4F72"/>
    <w:rsid w:val="00BE5FB0"/>
    <w:rsid w:val="00BE6AEE"/>
    <w:rsid w:val="00BE7476"/>
    <w:rsid w:val="00BE790F"/>
    <w:rsid w:val="00BF04CD"/>
    <w:rsid w:val="00BF10BC"/>
    <w:rsid w:val="00BF1501"/>
    <w:rsid w:val="00BF3172"/>
    <w:rsid w:val="00BF41E5"/>
    <w:rsid w:val="00BF582B"/>
    <w:rsid w:val="00BF632A"/>
    <w:rsid w:val="00BF6AF5"/>
    <w:rsid w:val="00BF7351"/>
    <w:rsid w:val="00C0027A"/>
    <w:rsid w:val="00C0030B"/>
    <w:rsid w:val="00C00697"/>
    <w:rsid w:val="00C00B59"/>
    <w:rsid w:val="00C019D1"/>
    <w:rsid w:val="00C01A2F"/>
    <w:rsid w:val="00C02A5D"/>
    <w:rsid w:val="00C03559"/>
    <w:rsid w:val="00C0416C"/>
    <w:rsid w:val="00C04C6D"/>
    <w:rsid w:val="00C060B7"/>
    <w:rsid w:val="00C0702E"/>
    <w:rsid w:val="00C07425"/>
    <w:rsid w:val="00C11D98"/>
    <w:rsid w:val="00C128D4"/>
    <w:rsid w:val="00C12A7D"/>
    <w:rsid w:val="00C12CF3"/>
    <w:rsid w:val="00C13E81"/>
    <w:rsid w:val="00C14F15"/>
    <w:rsid w:val="00C1640B"/>
    <w:rsid w:val="00C16BC2"/>
    <w:rsid w:val="00C17944"/>
    <w:rsid w:val="00C17DAA"/>
    <w:rsid w:val="00C20655"/>
    <w:rsid w:val="00C207F7"/>
    <w:rsid w:val="00C20977"/>
    <w:rsid w:val="00C20F47"/>
    <w:rsid w:val="00C215AD"/>
    <w:rsid w:val="00C21D93"/>
    <w:rsid w:val="00C221CF"/>
    <w:rsid w:val="00C22813"/>
    <w:rsid w:val="00C230CC"/>
    <w:rsid w:val="00C239D9"/>
    <w:rsid w:val="00C30A03"/>
    <w:rsid w:val="00C312A9"/>
    <w:rsid w:val="00C33A78"/>
    <w:rsid w:val="00C33C5A"/>
    <w:rsid w:val="00C35414"/>
    <w:rsid w:val="00C3544E"/>
    <w:rsid w:val="00C35667"/>
    <w:rsid w:val="00C35D49"/>
    <w:rsid w:val="00C35E6A"/>
    <w:rsid w:val="00C36766"/>
    <w:rsid w:val="00C36C3B"/>
    <w:rsid w:val="00C40407"/>
    <w:rsid w:val="00C41AA4"/>
    <w:rsid w:val="00C41F53"/>
    <w:rsid w:val="00C4249C"/>
    <w:rsid w:val="00C424B1"/>
    <w:rsid w:val="00C44E01"/>
    <w:rsid w:val="00C452F6"/>
    <w:rsid w:val="00C455DF"/>
    <w:rsid w:val="00C45BC3"/>
    <w:rsid w:val="00C45FB0"/>
    <w:rsid w:val="00C46FAE"/>
    <w:rsid w:val="00C47065"/>
    <w:rsid w:val="00C47EEB"/>
    <w:rsid w:val="00C51908"/>
    <w:rsid w:val="00C523F0"/>
    <w:rsid w:val="00C534D1"/>
    <w:rsid w:val="00C5372E"/>
    <w:rsid w:val="00C55095"/>
    <w:rsid w:val="00C56F98"/>
    <w:rsid w:val="00C5719C"/>
    <w:rsid w:val="00C571BD"/>
    <w:rsid w:val="00C57960"/>
    <w:rsid w:val="00C632CE"/>
    <w:rsid w:val="00C64055"/>
    <w:rsid w:val="00C64F3C"/>
    <w:rsid w:val="00C65260"/>
    <w:rsid w:val="00C65465"/>
    <w:rsid w:val="00C654A3"/>
    <w:rsid w:val="00C66E87"/>
    <w:rsid w:val="00C67EE4"/>
    <w:rsid w:val="00C70428"/>
    <w:rsid w:val="00C71331"/>
    <w:rsid w:val="00C727B6"/>
    <w:rsid w:val="00C7535D"/>
    <w:rsid w:val="00C75B55"/>
    <w:rsid w:val="00C76190"/>
    <w:rsid w:val="00C766A4"/>
    <w:rsid w:val="00C768F0"/>
    <w:rsid w:val="00C7701D"/>
    <w:rsid w:val="00C775A9"/>
    <w:rsid w:val="00C80A7A"/>
    <w:rsid w:val="00C821B1"/>
    <w:rsid w:val="00C86512"/>
    <w:rsid w:val="00C86B5C"/>
    <w:rsid w:val="00C87186"/>
    <w:rsid w:val="00C91A2D"/>
    <w:rsid w:val="00C91D93"/>
    <w:rsid w:val="00C92315"/>
    <w:rsid w:val="00C9372F"/>
    <w:rsid w:val="00C94F56"/>
    <w:rsid w:val="00C9617C"/>
    <w:rsid w:val="00C96430"/>
    <w:rsid w:val="00C97AC2"/>
    <w:rsid w:val="00C97AD8"/>
    <w:rsid w:val="00CA0616"/>
    <w:rsid w:val="00CA06C6"/>
    <w:rsid w:val="00CA08BF"/>
    <w:rsid w:val="00CA1E3A"/>
    <w:rsid w:val="00CA330C"/>
    <w:rsid w:val="00CA36FA"/>
    <w:rsid w:val="00CA495E"/>
    <w:rsid w:val="00CA4F01"/>
    <w:rsid w:val="00CA593D"/>
    <w:rsid w:val="00CA7B0F"/>
    <w:rsid w:val="00CB17CB"/>
    <w:rsid w:val="00CB3CFE"/>
    <w:rsid w:val="00CB3D7A"/>
    <w:rsid w:val="00CB40EE"/>
    <w:rsid w:val="00CB516A"/>
    <w:rsid w:val="00CB56CC"/>
    <w:rsid w:val="00CB5C97"/>
    <w:rsid w:val="00CB5D61"/>
    <w:rsid w:val="00CB67AD"/>
    <w:rsid w:val="00CB7BE6"/>
    <w:rsid w:val="00CB7D59"/>
    <w:rsid w:val="00CB7F4C"/>
    <w:rsid w:val="00CC028A"/>
    <w:rsid w:val="00CC0968"/>
    <w:rsid w:val="00CC13AC"/>
    <w:rsid w:val="00CC2E0C"/>
    <w:rsid w:val="00CC34BD"/>
    <w:rsid w:val="00CC45FC"/>
    <w:rsid w:val="00CC5CAB"/>
    <w:rsid w:val="00CC5D08"/>
    <w:rsid w:val="00CC6D56"/>
    <w:rsid w:val="00CC734E"/>
    <w:rsid w:val="00CD09EC"/>
    <w:rsid w:val="00CD16A7"/>
    <w:rsid w:val="00CD221D"/>
    <w:rsid w:val="00CD2A90"/>
    <w:rsid w:val="00CD356A"/>
    <w:rsid w:val="00CD4C62"/>
    <w:rsid w:val="00CD5036"/>
    <w:rsid w:val="00CD52A0"/>
    <w:rsid w:val="00CD6D3F"/>
    <w:rsid w:val="00CD6F85"/>
    <w:rsid w:val="00CE0582"/>
    <w:rsid w:val="00CE10FA"/>
    <w:rsid w:val="00CE1B53"/>
    <w:rsid w:val="00CE1F5A"/>
    <w:rsid w:val="00CE2251"/>
    <w:rsid w:val="00CE31A5"/>
    <w:rsid w:val="00CE38F4"/>
    <w:rsid w:val="00CE5183"/>
    <w:rsid w:val="00CE732D"/>
    <w:rsid w:val="00CE7898"/>
    <w:rsid w:val="00CF0AFE"/>
    <w:rsid w:val="00CF19D1"/>
    <w:rsid w:val="00CF1B46"/>
    <w:rsid w:val="00CF3C4C"/>
    <w:rsid w:val="00CF5FEC"/>
    <w:rsid w:val="00CF7563"/>
    <w:rsid w:val="00CF7933"/>
    <w:rsid w:val="00D00680"/>
    <w:rsid w:val="00D00B77"/>
    <w:rsid w:val="00D01C7A"/>
    <w:rsid w:val="00D0254A"/>
    <w:rsid w:val="00D02AAC"/>
    <w:rsid w:val="00D048DE"/>
    <w:rsid w:val="00D05514"/>
    <w:rsid w:val="00D06D53"/>
    <w:rsid w:val="00D10660"/>
    <w:rsid w:val="00D12C8B"/>
    <w:rsid w:val="00D12D03"/>
    <w:rsid w:val="00D132E8"/>
    <w:rsid w:val="00D134FF"/>
    <w:rsid w:val="00D139B1"/>
    <w:rsid w:val="00D14477"/>
    <w:rsid w:val="00D14A44"/>
    <w:rsid w:val="00D14CA9"/>
    <w:rsid w:val="00D154B2"/>
    <w:rsid w:val="00D16C0A"/>
    <w:rsid w:val="00D21613"/>
    <w:rsid w:val="00D220CF"/>
    <w:rsid w:val="00D226B5"/>
    <w:rsid w:val="00D24112"/>
    <w:rsid w:val="00D243B6"/>
    <w:rsid w:val="00D26162"/>
    <w:rsid w:val="00D270A6"/>
    <w:rsid w:val="00D27A26"/>
    <w:rsid w:val="00D34454"/>
    <w:rsid w:val="00D3487F"/>
    <w:rsid w:val="00D3498F"/>
    <w:rsid w:val="00D34AA5"/>
    <w:rsid w:val="00D34DAE"/>
    <w:rsid w:val="00D36F12"/>
    <w:rsid w:val="00D401C4"/>
    <w:rsid w:val="00D4100B"/>
    <w:rsid w:val="00D41494"/>
    <w:rsid w:val="00D42539"/>
    <w:rsid w:val="00D43101"/>
    <w:rsid w:val="00D431E0"/>
    <w:rsid w:val="00D43BA2"/>
    <w:rsid w:val="00D4430E"/>
    <w:rsid w:val="00D46507"/>
    <w:rsid w:val="00D47F29"/>
    <w:rsid w:val="00D50C90"/>
    <w:rsid w:val="00D50EED"/>
    <w:rsid w:val="00D5204F"/>
    <w:rsid w:val="00D52196"/>
    <w:rsid w:val="00D52692"/>
    <w:rsid w:val="00D5284C"/>
    <w:rsid w:val="00D5649D"/>
    <w:rsid w:val="00D56889"/>
    <w:rsid w:val="00D578B5"/>
    <w:rsid w:val="00D62103"/>
    <w:rsid w:val="00D62A33"/>
    <w:rsid w:val="00D63219"/>
    <w:rsid w:val="00D63C3C"/>
    <w:rsid w:val="00D660A0"/>
    <w:rsid w:val="00D664AC"/>
    <w:rsid w:val="00D704AD"/>
    <w:rsid w:val="00D70D4C"/>
    <w:rsid w:val="00D72352"/>
    <w:rsid w:val="00D72916"/>
    <w:rsid w:val="00D73C95"/>
    <w:rsid w:val="00D76BF2"/>
    <w:rsid w:val="00D80557"/>
    <w:rsid w:val="00D80A71"/>
    <w:rsid w:val="00D83074"/>
    <w:rsid w:val="00D842D6"/>
    <w:rsid w:val="00D8435D"/>
    <w:rsid w:val="00D8604F"/>
    <w:rsid w:val="00D902A7"/>
    <w:rsid w:val="00D90455"/>
    <w:rsid w:val="00D9316D"/>
    <w:rsid w:val="00D9435D"/>
    <w:rsid w:val="00D951D6"/>
    <w:rsid w:val="00D96050"/>
    <w:rsid w:val="00D97498"/>
    <w:rsid w:val="00D97FA0"/>
    <w:rsid w:val="00DA0241"/>
    <w:rsid w:val="00DA059E"/>
    <w:rsid w:val="00DA299E"/>
    <w:rsid w:val="00DA4C60"/>
    <w:rsid w:val="00DA4E60"/>
    <w:rsid w:val="00DA556E"/>
    <w:rsid w:val="00DA5FB9"/>
    <w:rsid w:val="00DA7203"/>
    <w:rsid w:val="00DB0602"/>
    <w:rsid w:val="00DB0BB3"/>
    <w:rsid w:val="00DB1976"/>
    <w:rsid w:val="00DB5631"/>
    <w:rsid w:val="00DB6443"/>
    <w:rsid w:val="00DB6606"/>
    <w:rsid w:val="00DB6B8F"/>
    <w:rsid w:val="00DC1489"/>
    <w:rsid w:val="00DC1645"/>
    <w:rsid w:val="00DC1F9E"/>
    <w:rsid w:val="00DC2086"/>
    <w:rsid w:val="00DC2DB6"/>
    <w:rsid w:val="00DC4D72"/>
    <w:rsid w:val="00DC5CB2"/>
    <w:rsid w:val="00DD031B"/>
    <w:rsid w:val="00DD0820"/>
    <w:rsid w:val="00DD142E"/>
    <w:rsid w:val="00DD1529"/>
    <w:rsid w:val="00DD171B"/>
    <w:rsid w:val="00DD221C"/>
    <w:rsid w:val="00DD396E"/>
    <w:rsid w:val="00DD3E54"/>
    <w:rsid w:val="00DD5200"/>
    <w:rsid w:val="00DE1528"/>
    <w:rsid w:val="00DE30A4"/>
    <w:rsid w:val="00DE32F6"/>
    <w:rsid w:val="00DE514B"/>
    <w:rsid w:val="00DE7146"/>
    <w:rsid w:val="00DE7DD0"/>
    <w:rsid w:val="00DF1676"/>
    <w:rsid w:val="00DF1890"/>
    <w:rsid w:val="00DF30F7"/>
    <w:rsid w:val="00DF3202"/>
    <w:rsid w:val="00DF386A"/>
    <w:rsid w:val="00DF3A89"/>
    <w:rsid w:val="00DF4478"/>
    <w:rsid w:val="00DF528D"/>
    <w:rsid w:val="00DF5CBB"/>
    <w:rsid w:val="00DF6023"/>
    <w:rsid w:val="00DF60C1"/>
    <w:rsid w:val="00DF668C"/>
    <w:rsid w:val="00DF6F05"/>
    <w:rsid w:val="00DF7166"/>
    <w:rsid w:val="00DF7C47"/>
    <w:rsid w:val="00E00A50"/>
    <w:rsid w:val="00E03514"/>
    <w:rsid w:val="00E04157"/>
    <w:rsid w:val="00E05FCA"/>
    <w:rsid w:val="00E110AF"/>
    <w:rsid w:val="00E114F7"/>
    <w:rsid w:val="00E1238F"/>
    <w:rsid w:val="00E12ADF"/>
    <w:rsid w:val="00E1304F"/>
    <w:rsid w:val="00E1317B"/>
    <w:rsid w:val="00E1327B"/>
    <w:rsid w:val="00E14B06"/>
    <w:rsid w:val="00E14EE8"/>
    <w:rsid w:val="00E155B2"/>
    <w:rsid w:val="00E165B4"/>
    <w:rsid w:val="00E17BDD"/>
    <w:rsid w:val="00E17DFA"/>
    <w:rsid w:val="00E208F3"/>
    <w:rsid w:val="00E20FA3"/>
    <w:rsid w:val="00E22940"/>
    <w:rsid w:val="00E2455D"/>
    <w:rsid w:val="00E24C26"/>
    <w:rsid w:val="00E24D1B"/>
    <w:rsid w:val="00E255AA"/>
    <w:rsid w:val="00E26286"/>
    <w:rsid w:val="00E26932"/>
    <w:rsid w:val="00E26B65"/>
    <w:rsid w:val="00E26BB1"/>
    <w:rsid w:val="00E26C32"/>
    <w:rsid w:val="00E3008B"/>
    <w:rsid w:val="00E30EE6"/>
    <w:rsid w:val="00E32D01"/>
    <w:rsid w:val="00E33282"/>
    <w:rsid w:val="00E33870"/>
    <w:rsid w:val="00E344E8"/>
    <w:rsid w:val="00E365C4"/>
    <w:rsid w:val="00E37F7F"/>
    <w:rsid w:val="00E400EF"/>
    <w:rsid w:val="00E40A10"/>
    <w:rsid w:val="00E4193D"/>
    <w:rsid w:val="00E42773"/>
    <w:rsid w:val="00E43195"/>
    <w:rsid w:val="00E4485B"/>
    <w:rsid w:val="00E449C6"/>
    <w:rsid w:val="00E44CEC"/>
    <w:rsid w:val="00E457E9"/>
    <w:rsid w:val="00E47488"/>
    <w:rsid w:val="00E47F35"/>
    <w:rsid w:val="00E50BED"/>
    <w:rsid w:val="00E51924"/>
    <w:rsid w:val="00E5199E"/>
    <w:rsid w:val="00E5468D"/>
    <w:rsid w:val="00E55DDD"/>
    <w:rsid w:val="00E5622F"/>
    <w:rsid w:val="00E57C52"/>
    <w:rsid w:val="00E6040C"/>
    <w:rsid w:val="00E60F23"/>
    <w:rsid w:val="00E645C9"/>
    <w:rsid w:val="00E650E8"/>
    <w:rsid w:val="00E6547E"/>
    <w:rsid w:val="00E66F8B"/>
    <w:rsid w:val="00E67CAF"/>
    <w:rsid w:val="00E70F9E"/>
    <w:rsid w:val="00E71E7A"/>
    <w:rsid w:val="00E7248E"/>
    <w:rsid w:val="00E737D7"/>
    <w:rsid w:val="00E74671"/>
    <w:rsid w:val="00E74B0D"/>
    <w:rsid w:val="00E75018"/>
    <w:rsid w:val="00E7580B"/>
    <w:rsid w:val="00E75C28"/>
    <w:rsid w:val="00E76554"/>
    <w:rsid w:val="00E769AF"/>
    <w:rsid w:val="00E778C0"/>
    <w:rsid w:val="00E779EB"/>
    <w:rsid w:val="00E77A6F"/>
    <w:rsid w:val="00E80CD4"/>
    <w:rsid w:val="00E82577"/>
    <w:rsid w:val="00E8478E"/>
    <w:rsid w:val="00E84B8C"/>
    <w:rsid w:val="00E84DD9"/>
    <w:rsid w:val="00E85A51"/>
    <w:rsid w:val="00E90C88"/>
    <w:rsid w:val="00E91C06"/>
    <w:rsid w:val="00E92A22"/>
    <w:rsid w:val="00E93467"/>
    <w:rsid w:val="00E93C3A"/>
    <w:rsid w:val="00E93D73"/>
    <w:rsid w:val="00E94297"/>
    <w:rsid w:val="00E955F9"/>
    <w:rsid w:val="00E9692C"/>
    <w:rsid w:val="00E9799F"/>
    <w:rsid w:val="00EA13E6"/>
    <w:rsid w:val="00EA2F7C"/>
    <w:rsid w:val="00EA3C77"/>
    <w:rsid w:val="00EA431C"/>
    <w:rsid w:val="00EA562B"/>
    <w:rsid w:val="00EA6FA9"/>
    <w:rsid w:val="00EB045B"/>
    <w:rsid w:val="00EB1477"/>
    <w:rsid w:val="00EB27FC"/>
    <w:rsid w:val="00EB2ED7"/>
    <w:rsid w:val="00EB3DE8"/>
    <w:rsid w:val="00EB4A77"/>
    <w:rsid w:val="00EB4BEA"/>
    <w:rsid w:val="00EC0240"/>
    <w:rsid w:val="00EC078F"/>
    <w:rsid w:val="00EC120E"/>
    <w:rsid w:val="00EC26B3"/>
    <w:rsid w:val="00EC4571"/>
    <w:rsid w:val="00EC528C"/>
    <w:rsid w:val="00EC66E5"/>
    <w:rsid w:val="00EC6920"/>
    <w:rsid w:val="00ED01D4"/>
    <w:rsid w:val="00ED048A"/>
    <w:rsid w:val="00ED208C"/>
    <w:rsid w:val="00ED68F7"/>
    <w:rsid w:val="00ED79B8"/>
    <w:rsid w:val="00ED7CE6"/>
    <w:rsid w:val="00EE05AE"/>
    <w:rsid w:val="00EE0C8F"/>
    <w:rsid w:val="00EE1FF3"/>
    <w:rsid w:val="00EE264B"/>
    <w:rsid w:val="00EE2BBC"/>
    <w:rsid w:val="00EE3AE3"/>
    <w:rsid w:val="00EE4EA4"/>
    <w:rsid w:val="00EE556C"/>
    <w:rsid w:val="00EE6974"/>
    <w:rsid w:val="00EE6CE3"/>
    <w:rsid w:val="00EF01DF"/>
    <w:rsid w:val="00EF01E0"/>
    <w:rsid w:val="00EF07DD"/>
    <w:rsid w:val="00EF0EBA"/>
    <w:rsid w:val="00EF1C49"/>
    <w:rsid w:val="00EF2151"/>
    <w:rsid w:val="00EF639D"/>
    <w:rsid w:val="00EF6C88"/>
    <w:rsid w:val="00F00385"/>
    <w:rsid w:val="00F014C6"/>
    <w:rsid w:val="00F01748"/>
    <w:rsid w:val="00F02171"/>
    <w:rsid w:val="00F022DF"/>
    <w:rsid w:val="00F03F79"/>
    <w:rsid w:val="00F04490"/>
    <w:rsid w:val="00F045A1"/>
    <w:rsid w:val="00F05684"/>
    <w:rsid w:val="00F07AF0"/>
    <w:rsid w:val="00F11DD6"/>
    <w:rsid w:val="00F122A2"/>
    <w:rsid w:val="00F13BE7"/>
    <w:rsid w:val="00F140E7"/>
    <w:rsid w:val="00F14E63"/>
    <w:rsid w:val="00F16C4F"/>
    <w:rsid w:val="00F20C77"/>
    <w:rsid w:val="00F21542"/>
    <w:rsid w:val="00F226A3"/>
    <w:rsid w:val="00F2322D"/>
    <w:rsid w:val="00F23953"/>
    <w:rsid w:val="00F24241"/>
    <w:rsid w:val="00F24EBF"/>
    <w:rsid w:val="00F25E9B"/>
    <w:rsid w:val="00F26966"/>
    <w:rsid w:val="00F27531"/>
    <w:rsid w:val="00F276A9"/>
    <w:rsid w:val="00F27C62"/>
    <w:rsid w:val="00F340E6"/>
    <w:rsid w:val="00F34182"/>
    <w:rsid w:val="00F3627E"/>
    <w:rsid w:val="00F36686"/>
    <w:rsid w:val="00F3699F"/>
    <w:rsid w:val="00F37013"/>
    <w:rsid w:val="00F37032"/>
    <w:rsid w:val="00F371D0"/>
    <w:rsid w:val="00F37794"/>
    <w:rsid w:val="00F37E64"/>
    <w:rsid w:val="00F4023D"/>
    <w:rsid w:val="00F40EB9"/>
    <w:rsid w:val="00F42443"/>
    <w:rsid w:val="00F42839"/>
    <w:rsid w:val="00F42F16"/>
    <w:rsid w:val="00F433A2"/>
    <w:rsid w:val="00F448BD"/>
    <w:rsid w:val="00F46BE2"/>
    <w:rsid w:val="00F52B45"/>
    <w:rsid w:val="00F531F2"/>
    <w:rsid w:val="00F5354C"/>
    <w:rsid w:val="00F54858"/>
    <w:rsid w:val="00F54CBA"/>
    <w:rsid w:val="00F555B6"/>
    <w:rsid w:val="00F5656A"/>
    <w:rsid w:val="00F56832"/>
    <w:rsid w:val="00F56A75"/>
    <w:rsid w:val="00F56F35"/>
    <w:rsid w:val="00F609C7"/>
    <w:rsid w:val="00F60CDE"/>
    <w:rsid w:val="00F62802"/>
    <w:rsid w:val="00F62E18"/>
    <w:rsid w:val="00F63783"/>
    <w:rsid w:val="00F643FC"/>
    <w:rsid w:val="00F64972"/>
    <w:rsid w:val="00F65175"/>
    <w:rsid w:val="00F6565B"/>
    <w:rsid w:val="00F65983"/>
    <w:rsid w:val="00F678D2"/>
    <w:rsid w:val="00F7025C"/>
    <w:rsid w:val="00F716A1"/>
    <w:rsid w:val="00F7218C"/>
    <w:rsid w:val="00F74964"/>
    <w:rsid w:val="00F74F33"/>
    <w:rsid w:val="00F75721"/>
    <w:rsid w:val="00F7644E"/>
    <w:rsid w:val="00F81772"/>
    <w:rsid w:val="00F82FFD"/>
    <w:rsid w:val="00F84352"/>
    <w:rsid w:val="00F854A2"/>
    <w:rsid w:val="00F86591"/>
    <w:rsid w:val="00F8680E"/>
    <w:rsid w:val="00F86CFA"/>
    <w:rsid w:val="00F86F18"/>
    <w:rsid w:val="00F908BD"/>
    <w:rsid w:val="00F90D2B"/>
    <w:rsid w:val="00F90D8E"/>
    <w:rsid w:val="00F92088"/>
    <w:rsid w:val="00F9239F"/>
    <w:rsid w:val="00F935E0"/>
    <w:rsid w:val="00F93783"/>
    <w:rsid w:val="00F941D3"/>
    <w:rsid w:val="00F94A9C"/>
    <w:rsid w:val="00F97D5E"/>
    <w:rsid w:val="00FA106C"/>
    <w:rsid w:val="00FA19FF"/>
    <w:rsid w:val="00FA5F23"/>
    <w:rsid w:val="00FA6A9B"/>
    <w:rsid w:val="00FA6CAF"/>
    <w:rsid w:val="00FA6F63"/>
    <w:rsid w:val="00FA7CA6"/>
    <w:rsid w:val="00FB0D40"/>
    <w:rsid w:val="00FB1B6D"/>
    <w:rsid w:val="00FB2C53"/>
    <w:rsid w:val="00FB32C7"/>
    <w:rsid w:val="00FB4880"/>
    <w:rsid w:val="00FB5847"/>
    <w:rsid w:val="00FB5A41"/>
    <w:rsid w:val="00FB5BAE"/>
    <w:rsid w:val="00FB6696"/>
    <w:rsid w:val="00FB788D"/>
    <w:rsid w:val="00FC01B2"/>
    <w:rsid w:val="00FC09F0"/>
    <w:rsid w:val="00FC17F5"/>
    <w:rsid w:val="00FC1EEC"/>
    <w:rsid w:val="00FC2269"/>
    <w:rsid w:val="00FC2757"/>
    <w:rsid w:val="00FC4323"/>
    <w:rsid w:val="00FC441C"/>
    <w:rsid w:val="00FC68B2"/>
    <w:rsid w:val="00FC70B5"/>
    <w:rsid w:val="00FC7405"/>
    <w:rsid w:val="00FD05FD"/>
    <w:rsid w:val="00FD0D73"/>
    <w:rsid w:val="00FD1D6C"/>
    <w:rsid w:val="00FD239C"/>
    <w:rsid w:val="00FD2733"/>
    <w:rsid w:val="00FD6934"/>
    <w:rsid w:val="00FE04C2"/>
    <w:rsid w:val="00FE0EA4"/>
    <w:rsid w:val="00FE15B0"/>
    <w:rsid w:val="00FE3175"/>
    <w:rsid w:val="00FE6110"/>
    <w:rsid w:val="00FE7ABC"/>
    <w:rsid w:val="00FF10E4"/>
    <w:rsid w:val="00FF4456"/>
    <w:rsid w:val="00FF4744"/>
    <w:rsid w:val="00FF54C5"/>
    <w:rsid w:val="00FF577D"/>
    <w:rsid w:val="00FF6628"/>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BB5D"/>
  <w15:chartTrackingRefBased/>
  <w15:docId w15:val="{62983279-C2C3-4D37-BC4E-75CDCEC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1BD"/>
    <w:rPr>
      <w:color w:val="0563C1"/>
      <w:u w:val="single"/>
    </w:rPr>
  </w:style>
  <w:style w:type="paragraph" w:styleId="ListParagraph">
    <w:name w:val="List Paragraph"/>
    <w:aliases w:val="Table of contents numbered,lp1,Heading x1,Lettre d'introduction,1st level - Bullet List Paragraph,Paragrafo elenco,body 2,List Paragraph1,List Paragraph11,Lista 1,lp11,Liste 1,Use Case List Paragraph,Colorful List - Accent 11,Bullet List"/>
    <w:basedOn w:val="Normal"/>
    <w:link w:val="ListParagraphChar"/>
    <w:uiPriority w:val="34"/>
    <w:qFormat/>
    <w:rsid w:val="00460096"/>
    <w:pPr>
      <w:ind w:left="720"/>
      <w:contextualSpacing/>
    </w:pPr>
  </w:style>
  <w:style w:type="paragraph" w:styleId="BalloonText">
    <w:name w:val="Balloon Text"/>
    <w:basedOn w:val="Normal"/>
    <w:link w:val="BalloonTextChar"/>
    <w:uiPriority w:val="99"/>
    <w:semiHidden/>
    <w:unhideWhenUsed/>
    <w:rsid w:val="00F70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5C"/>
    <w:rPr>
      <w:rFonts w:ascii="Segoe UI" w:hAnsi="Segoe UI" w:cs="Segoe UI"/>
      <w:sz w:val="18"/>
      <w:szCs w:val="18"/>
    </w:rPr>
  </w:style>
  <w:style w:type="character" w:styleId="FollowedHyperlink">
    <w:name w:val="FollowedHyperlink"/>
    <w:basedOn w:val="DefaultParagraphFont"/>
    <w:uiPriority w:val="99"/>
    <w:semiHidden/>
    <w:unhideWhenUsed/>
    <w:rsid w:val="00146571"/>
    <w:rPr>
      <w:color w:val="954F72" w:themeColor="followedHyperlink"/>
      <w:u w:val="single"/>
    </w:rPr>
  </w:style>
  <w:style w:type="paragraph" w:styleId="List">
    <w:name w:val="List"/>
    <w:basedOn w:val="Normal"/>
    <w:uiPriority w:val="99"/>
    <w:semiHidden/>
    <w:unhideWhenUsed/>
    <w:rsid w:val="008235B5"/>
    <w:pPr>
      <w:ind w:left="360" w:hanging="360"/>
      <w:contextualSpacing/>
    </w:pPr>
  </w:style>
  <w:style w:type="paragraph" w:styleId="Header">
    <w:name w:val="header"/>
    <w:basedOn w:val="Normal"/>
    <w:link w:val="HeaderChar"/>
    <w:uiPriority w:val="99"/>
    <w:unhideWhenUsed/>
    <w:rsid w:val="00675DC6"/>
    <w:pPr>
      <w:tabs>
        <w:tab w:val="center" w:pos="4680"/>
        <w:tab w:val="right" w:pos="9360"/>
      </w:tabs>
    </w:pPr>
  </w:style>
  <w:style w:type="character" w:customStyle="1" w:styleId="HeaderChar">
    <w:name w:val="Header Char"/>
    <w:basedOn w:val="DefaultParagraphFont"/>
    <w:link w:val="Header"/>
    <w:uiPriority w:val="99"/>
    <w:rsid w:val="00675DC6"/>
    <w:rPr>
      <w:rFonts w:ascii="Calibri" w:hAnsi="Calibri" w:cs="Calibri"/>
    </w:rPr>
  </w:style>
  <w:style w:type="paragraph" w:styleId="Footer">
    <w:name w:val="footer"/>
    <w:basedOn w:val="Normal"/>
    <w:link w:val="FooterChar"/>
    <w:uiPriority w:val="99"/>
    <w:unhideWhenUsed/>
    <w:rsid w:val="00675DC6"/>
    <w:pPr>
      <w:tabs>
        <w:tab w:val="center" w:pos="4680"/>
        <w:tab w:val="right" w:pos="9360"/>
      </w:tabs>
    </w:pPr>
  </w:style>
  <w:style w:type="character" w:customStyle="1" w:styleId="FooterChar">
    <w:name w:val="Footer Char"/>
    <w:basedOn w:val="DefaultParagraphFont"/>
    <w:link w:val="Footer"/>
    <w:uiPriority w:val="99"/>
    <w:rsid w:val="00675DC6"/>
    <w:rPr>
      <w:rFonts w:ascii="Calibri" w:hAnsi="Calibri" w:cs="Calibri"/>
    </w:rPr>
  </w:style>
  <w:style w:type="paragraph" w:styleId="NoSpacing">
    <w:name w:val="No Spacing"/>
    <w:uiPriority w:val="1"/>
    <w:qFormat/>
    <w:rsid w:val="005626F3"/>
    <w:pPr>
      <w:spacing w:after="0" w:line="240" w:lineRule="auto"/>
    </w:pPr>
    <w:rPr>
      <w:rFonts w:ascii="Times New Roman" w:hAnsi="Times New Roman" w:cs="Calibri"/>
      <w:sz w:val="28"/>
    </w:rPr>
  </w:style>
  <w:style w:type="paragraph" w:styleId="BodyText">
    <w:name w:val="Body Text"/>
    <w:basedOn w:val="Normal"/>
    <w:link w:val="BodyTextChar"/>
    <w:uiPriority w:val="1"/>
    <w:qFormat/>
    <w:rsid w:val="00B558D3"/>
    <w:pPr>
      <w:widowControl w:val="0"/>
      <w:autoSpaceDE w:val="0"/>
      <w:autoSpaceDN w:val="0"/>
    </w:pPr>
    <w:rPr>
      <w:rFonts w:ascii="Arial" w:eastAsia="Arial" w:hAnsi="Arial" w:cs="Arial"/>
      <w:sz w:val="20"/>
      <w:szCs w:val="20"/>
      <w:lang w:val="ro-RO"/>
    </w:rPr>
  </w:style>
  <w:style w:type="character" w:customStyle="1" w:styleId="BodyTextChar">
    <w:name w:val="Body Text Char"/>
    <w:basedOn w:val="DefaultParagraphFont"/>
    <w:link w:val="BodyText"/>
    <w:uiPriority w:val="1"/>
    <w:rsid w:val="00B558D3"/>
    <w:rPr>
      <w:rFonts w:ascii="Arial" w:eastAsia="Arial" w:hAnsi="Arial" w:cs="Arial"/>
      <w:sz w:val="20"/>
      <w:szCs w:val="20"/>
      <w:lang w:val="ro-RO"/>
    </w:rPr>
  </w:style>
  <w:style w:type="character" w:customStyle="1" w:styleId="whitespace-normal">
    <w:name w:val="whitespace-normal"/>
    <w:basedOn w:val="DefaultParagraphFont"/>
    <w:rsid w:val="00BE1258"/>
  </w:style>
  <w:style w:type="character" w:customStyle="1" w:styleId="ListParagraphChar">
    <w:name w:val="List Paragraph Char"/>
    <w:aliases w:val="Table of contents numbered Char,lp1 Char,Heading x1 Char,Lettre d'introduction Char,1st level - Bullet List Paragraph Char,Paragrafo elenco Char,body 2 Char,List Paragraph1 Char,List Paragraph11 Char,Lista 1 Char,lp11 Char"/>
    <w:link w:val="ListParagraph"/>
    <w:uiPriority w:val="34"/>
    <w:qFormat/>
    <w:rsid w:val="00BE1258"/>
    <w:rPr>
      <w:rFonts w:ascii="Calibri" w:hAnsi="Calibri" w:cs="Calibri"/>
    </w:rPr>
  </w:style>
  <w:style w:type="paragraph" w:styleId="NormalWeb">
    <w:name w:val="Normal (Web)"/>
    <w:aliases w:val="webb,Normal (Web) Car1,Normal (Web) Car Car,Normal (Web) Car3 Car Car,Normal (Web) Car Car Car2 Car,Normal (Web) Car3 Car Car Car1 Car,Normal (Web) Car Car Car2 Car Car Car,Normal (Web) Car3 Car Car Car1 Car Car Car,heading"/>
    <w:basedOn w:val="Normal"/>
    <w:link w:val="NormalWebChar"/>
    <w:uiPriority w:val="99"/>
    <w:unhideWhenUsed/>
    <w:rsid w:val="006A3554"/>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aliases w:val="webb Char,Normal (Web) Car1 Char,Normal (Web) Car Car Char,Normal (Web) Car3 Car Car Char,Normal (Web) Car Car Car2 Car Char,Normal (Web) Car3 Car Car Car1 Car Char,Normal (Web) Car Car Car2 Car Car Car Char,heading Char"/>
    <w:link w:val="NormalWeb"/>
    <w:uiPriority w:val="99"/>
    <w:locked/>
    <w:rsid w:val="006A35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549">
      <w:bodyDiv w:val="1"/>
      <w:marLeft w:val="0"/>
      <w:marRight w:val="0"/>
      <w:marTop w:val="0"/>
      <w:marBottom w:val="0"/>
      <w:divBdr>
        <w:top w:val="none" w:sz="0" w:space="0" w:color="auto"/>
        <w:left w:val="none" w:sz="0" w:space="0" w:color="auto"/>
        <w:bottom w:val="none" w:sz="0" w:space="0" w:color="auto"/>
        <w:right w:val="none" w:sz="0" w:space="0" w:color="auto"/>
      </w:divBdr>
    </w:div>
    <w:div w:id="809640309">
      <w:bodyDiv w:val="1"/>
      <w:marLeft w:val="0"/>
      <w:marRight w:val="0"/>
      <w:marTop w:val="0"/>
      <w:marBottom w:val="0"/>
      <w:divBdr>
        <w:top w:val="none" w:sz="0" w:space="0" w:color="auto"/>
        <w:left w:val="none" w:sz="0" w:space="0" w:color="auto"/>
        <w:bottom w:val="none" w:sz="0" w:space="0" w:color="auto"/>
        <w:right w:val="none" w:sz="0" w:space="0" w:color="auto"/>
      </w:divBdr>
    </w:div>
    <w:div w:id="872426996">
      <w:bodyDiv w:val="1"/>
      <w:marLeft w:val="0"/>
      <w:marRight w:val="0"/>
      <w:marTop w:val="0"/>
      <w:marBottom w:val="0"/>
      <w:divBdr>
        <w:top w:val="none" w:sz="0" w:space="0" w:color="auto"/>
        <w:left w:val="none" w:sz="0" w:space="0" w:color="auto"/>
        <w:bottom w:val="none" w:sz="0" w:space="0" w:color="auto"/>
        <w:right w:val="none" w:sz="0" w:space="0" w:color="auto"/>
      </w:divBdr>
    </w:div>
    <w:div w:id="17304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uv.ro" TargetMode="External"/><Relationship Id="rId5" Type="http://schemas.openxmlformats.org/officeDocument/2006/relationships/webSettings" Target="webSettings.xml"/><Relationship Id="rId10" Type="http://schemas.openxmlformats.org/officeDocument/2006/relationships/hyperlink" Target="http://www.gov.ro/" TargetMode="External"/><Relationship Id="rId4" Type="http://schemas.openxmlformats.org/officeDocument/2006/relationships/settings" Target="settings.xml"/><Relationship Id="rId9" Type="http://schemas.openxmlformats.org/officeDocument/2006/relationships/hyperlink" Target="mailto:presa@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1FFF-1678-43FC-92FD-B95E9CDC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7122</Words>
  <Characters>40601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Salbatecu</dc:creator>
  <cp:keywords/>
  <dc:description/>
  <cp:lastModifiedBy>Mirela Luca</cp:lastModifiedBy>
  <cp:revision>2</cp:revision>
  <cp:lastPrinted>2026-03-19T14:53:00Z</cp:lastPrinted>
  <dcterms:created xsi:type="dcterms:W3CDTF">2026-03-26T12:23:00Z</dcterms:created>
  <dcterms:modified xsi:type="dcterms:W3CDTF">2026-03-26T12:23:00Z</dcterms:modified>
</cp:coreProperties>
</file>